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ACDC" w14:textId="2006DA72"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 xml:space="preserve">WG1 </w:t>
      </w:r>
      <w:r w:rsidR="00F02F65" w:rsidRPr="00536C1E">
        <w:rPr>
          <w:rFonts w:ascii="Arial" w:hAnsi="Arial"/>
          <w:b/>
          <w:lang w:val="en-US"/>
        </w:rPr>
        <w:t>Meeting #90</w:t>
      </w:r>
      <w:r w:rsidR="00F365C0">
        <w:rPr>
          <w:rFonts w:ascii="Arial" w:hAnsi="Arial"/>
          <w:b/>
          <w:lang w:val="en-US"/>
        </w:rPr>
        <w:t>bis</w:t>
      </w:r>
      <w:r w:rsidR="00D6375C" w:rsidRPr="00536C1E">
        <w:rPr>
          <w:rFonts w:ascii="Arial" w:hAnsi="Arial"/>
          <w:b/>
          <w:lang w:val="en-US"/>
        </w:rPr>
        <w:tab/>
      </w:r>
      <w:r w:rsidR="00223DB2" w:rsidRPr="00223DB2">
        <w:rPr>
          <w:rFonts w:ascii="Arial" w:hAnsi="Arial"/>
          <w:b/>
          <w:lang w:val="en-US"/>
        </w:rPr>
        <w:t>R1-1718657</w:t>
      </w:r>
    </w:p>
    <w:p w14:paraId="66354B83" w14:textId="7E531E98" w:rsidR="00113916" w:rsidRPr="00F97042" w:rsidRDefault="00C434DD" w:rsidP="00113916">
      <w:pPr>
        <w:rPr>
          <w:rFonts w:ascii="Arial" w:hAnsi="Arial"/>
          <w:b/>
          <w:lang w:val="en-AU"/>
        </w:rPr>
      </w:pPr>
      <w:r>
        <w:rPr>
          <w:rFonts w:ascii="Arial" w:hAnsi="Arial"/>
          <w:b/>
          <w:lang w:val="en-AU"/>
        </w:rPr>
        <w:t xml:space="preserve">Prague, </w:t>
      </w:r>
      <w:r w:rsidRPr="00C434DD">
        <w:rPr>
          <w:rFonts w:ascii="Arial" w:hAnsi="Arial"/>
          <w:b/>
          <w:lang w:val="en-AU"/>
        </w:rPr>
        <w:t>Czech Republic</w:t>
      </w:r>
      <w:r>
        <w:rPr>
          <w:rFonts w:ascii="Arial" w:hAnsi="Arial"/>
          <w:b/>
          <w:lang w:val="en-AU"/>
        </w:rPr>
        <w:t>,</w:t>
      </w:r>
      <w:r w:rsidR="00F02F65" w:rsidRPr="00F02F65">
        <w:rPr>
          <w:rFonts w:ascii="Arial" w:hAnsi="Arial"/>
          <w:b/>
          <w:lang w:val="en-AU"/>
        </w:rPr>
        <w:t xml:space="preserve"> </w:t>
      </w:r>
      <w:r w:rsidR="00F365C0">
        <w:rPr>
          <w:rFonts w:ascii="Arial" w:hAnsi="Arial"/>
          <w:b/>
          <w:lang w:val="en-AU"/>
        </w:rPr>
        <w:t>9</w:t>
      </w:r>
      <w:r w:rsidR="00F365C0" w:rsidRPr="00F365C0">
        <w:rPr>
          <w:rFonts w:ascii="Arial" w:hAnsi="Arial"/>
          <w:b/>
          <w:vertAlign w:val="superscript"/>
          <w:lang w:val="en-AU"/>
        </w:rPr>
        <w:t>th</w:t>
      </w:r>
      <w:r w:rsidR="00F365C0">
        <w:rPr>
          <w:rFonts w:ascii="Arial" w:hAnsi="Arial"/>
          <w:b/>
          <w:lang w:val="en-AU"/>
        </w:rPr>
        <w:t xml:space="preserve"> – 13</w:t>
      </w:r>
      <w:r w:rsidR="00F365C0" w:rsidRPr="00F365C0">
        <w:rPr>
          <w:rFonts w:ascii="Arial" w:hAnsi="Arial"/>
          <w:b/>
          <w:vertAlign w:val="superscript"/>
          <w:lang w:val="en-AU"/>
        </w:rPr>
        <w:t>th</w:t>
      </w:r>
      <w:r w:rsidR="00F365C0" w:rsidRPr="00F365C0">
        <w:rPr>
          <w:rFonts w:ascii="Arial" w:hAnsi="Arial"/>
          <w:b/>
          <w:lang w:val="en-AU"/>
        </w:rPr>
        <w:t xml:space="preserve">, October </w:t>
      </w:r>
      <w:r w:rsidR="00D976C8" w:rsidRPr="00D976C8">
        <w:rPr>
          <w:rFonts w:ascii="Arial" w:hAnsi="Arial"/>
          <w:b/>
          <w:lang w:val="en-AU"/>
        </w:rPr>
        <w:t>2017</w:t>
      </w:r>
    </w:p>
    <w:p w14:paraId="259EC765" w14:textId="514E8BC5" w:rsidR="00DD4E7D" w:rsidRPr="00536C1E" w:rsidRDefault="00DD4E7D" w:rsidP="005C17E7">
      <w:pPr>
        <w:tabs>
          <w:tab w:val="left" w:pos="1800"/>
        </w:tabs>
        <w:spacing w:after="60"/>
        <w:rPr>
          <w:rFonts w:eastAsia="MS Mincho"/>
          <w:b/>
          <w:sz w:val="24"/>
          <w:lang w:val="en-US"/>
        </w:rPr>
      </w:pPr>
      <w:r w:rsidRPr="00536C1E">
        <w:rPr>
          <w:b/>
          <w:sz w:val="24"/>
          <w:lang w:val="en-US"/>
        </w:rPr>
        <w:t>Agenda Item:</w:t>
      </w:r>
      <w:r w:rsidRPr="00536C1E">
        <w:rPr>
          <w:b/>
          <w:sz w:val="24"/>
          <w:lang w:val="en-US"/>
        </w:rPr>
        <w:tab/>
      </w:r>
      <w:r w:rsidR="00FB6E34" w:rsidRPr="00FB6E34">
        <w:rPr>
          <w:b/>
          <w:sz w:val="24"/>
          <w:lang w:val="en-US"/>
        </w:rPr>
        <w:t>7.3.3.6</w:t>
      </w:r>
    </w:p>
    <w:p w14:paraId="57542942" w14:textId="77777777" w:rsidR="00DD4E7D" w:rsidRPr="00536C1E" w:rsidRDefault="00DD4E7D" w:rsidP="00DD4E7D">
      <w:pPr>
        <w:tabs>
          <w:tab w:val="left" w:pos="1800"/>
        </w:tabs>
        <w:spacing w:after="60"/>
        <w:rPr>
          <w:b/>
          <w:sz w:val="24"/>
          <w:lang w:val="en-US"/>
        </w:rPr>
      </w:pPr>
      <w:r w:rsidRPr="00536C1E">
        <w:rPr>
          <w:b/>
          <w:sz w:val="24"/>
          <w:lang w:val="en-US"/>
        </w:rPr>
        <w:t xml:space="preserve">Source: </w:t>
      </w:r>
      <w:r w:rsidRPr="00536C1E">
        <w:rPr>
          <w:b/>
          <w:sz w:val="24"/>
          <w:lang w:val="en-US"/>
        </w:rPr>
        <w:tab/>
      </w:r>
      <w:r w:rsidR="00E14CBF" w:rsidRPr="00536C1E">
        <w:rPr>
          <w:b/>
          <w:sz w:val="24"/>
          <w:lang w:val="en-US"/>
        </w:rPr>
        <w:t>Sony</w:t>
      </w:r>
      <w:r w:rsidR="005833B3" w:rsidRPr="00536C1E">
        <w:rPr>
          <w:b/>
          <w:sz w:val="24"/>
          <w:lang w:val="en-US"/>
        </w:rPr>
        <w:t xml:space="preserve"> </w:t>
      </w:r>
    </w:p>
    <w:p w14:paraId="52BFB253" w14:textId="5FCAD6B7" w:rsidR="00DD4E7D" w:rsidRPr="00536C1E" w:rsidRDefault="00DD4E7D" w:rsidP="00FB7782">
      <w:pPr>
        <w:tabs>
          <w:tab w:val="left" w:pos="1800"/>
        </w:tabs>
        <w:spacing w:after="60"/>
        <w:ind w:left="1800" w:hanging="1800"/>
        <w:rPr>
          <w:b/>
          <w:sz w:val="24"/>
          <w:lang w:val="en-US"/>
        </w:rPr>
      </w:pPr>
      <w:r w:rsidRPr="00536C1E">
        <w:rPr>
          <w:b/>
          <w:color w:val="000000"/>
          <w:sz w:val="24"/>
          <w:lang w:val="en-US"/>
        </w:rPr>
        <w:t>Title:</w:t>
      </w:r>
      <w:r w:rsidRPr="00536C1E">
        <w:rPr>
          <w:b/>
          <w:color w:val="000000"/>
          <w:sz w:val="24"/>
          <w:lang w:val="en-US"/>
        </w:rPr>
        <w:tab/>
      </w:r>
      <w:r w:rsidR="00FB6E34" w:rsidRPr="00FB6E34">
        <w:rPr>
          <w:b/>
          <w:color w:val="000000"/>
          <w:sz w:val="24"/>
          <w:lang w:val="en-US"/>
        </w:rPr>
        <w:t>Myths and remaining issues in Pre-emption Indicator</w:t>
      </w:r>
    </w:p>
    <w:p w14:paraId="1F2902D4" w14:textId="77777777" w:rsidR="00DD4E7D" w:rsidRPr="004A539C" w:rsidRDefault="00DD4E7D" w:rsidP="00DD4E7D">
      <w:pPr>
        <w:tabs>
          <w:tab w:val="left" w:pos="1800"/>
        </w:tabs>
        <w:spacing w:after="60"/>
        <w:rPr>
          <w:b/>
          <w:sz w:val="24"/>
        </w:rPr>
      </w:pPr>
      <w:r w:rsidRPr="004A539C">
        <w:rPr>
          <w:b/>
          <w:sz w:val="24"/>
        </w:rPr>
        <w:t>Document for:</w:t>
      </w:r>
      <w:r w:rsidR="004D2A00" w:rsidRPr="004A539C">
        <w:rPr>
          <w:b/>
          <w:sz w:val="24"/>
        </w:rPr>
        <w:tab/>
        <w:t>Discussion</w:t>
      </w:r>
      <w:r w:rsidR="00E174F6" w:rsidRPr="004A539C">
        <w:rPr>
          <w:b/>
          <w:sz w:val="24"/>
        </w:rPr>
        <w:t xml:space="preserve"> / decision</w:t>
      </w:r>
    </w:p>
    <w:p w14:paraId="035E4F58" w14:textId="77777777" w:rsidR="00DD4E7D"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p>
    <w:bookmarkEnd w:id="10"/>
    <w:bookmarkEnd w:id="11"/>
    <w:bookmarkEnd w:id="12"/>
    <w:p w14:paraId="1518410D" w14:textId="1BCDC23E" w:rsidR="00E9249F" w:rsidRDefault="00E9249F" w:rsidP="00226014">
      <w:pPr>
        <w:jc w:val="both"/>
        <w:rPr>
          <w:lang w:val="en-US"/>
        </w:rPr>
      </w:pPr>
      <w:r>
        <w:rPr>
          <w:lang w:val="en-US"/>
        </w:rPr>
        <w:t>In RAN1</w:t>
      </w:r>
      <w:r w:rsidR="00187E09">
        <w:rPr>
          <w:lang w:val="en-US"/>
        </w:rPr>
        <w:t xml:space="preserve"> NR Ad-Hoc#3</w:t>
      </w:r>
      <w:r>
        <w:rPr>
          <w:lang w:val="en-US"/>
        </w:rPr>
        <w:t>, we agreed the following:</w:t>
      </w:r>
    </w:p>
    <w:p w14:paraId="00954879" w14:textId="77777777" w:rsidR="00187E09" w:rsidRPr="00187E09" w:rsidRDefault="00187E09" w:rsidP="00057F12">
      <w:pPr>
        <w:numPr>
          <w:ilvl w:val="3"/>
          <w:numId w:val="10"/>
        </w:numPr>
        <w:spacing w:after="0" w:line="240" w:lineRule="auto"/>
        <w:rPr>
          <w:rFonts w:eastAsia="SimSun"/>
          <w:i/>
          <w:szCs w:val="20"/>
          <w:lang w:val="en-US" w:eastAsia="zh-CN"/>
        </w:rPr>
      </w:pPr>
      <w:r w:rsidRPr="00187E09">
        <w:rPr>
          <w:rFonts w:eastAsia="SimSun" w:hint="eastAsia"/>
          <w:i/>
          <w:szCs w:val="20"/>
          <w:lang w:val="en-US" w:eastAsia="zh-CN"/>
        </w:rPr>
        <w:t>UE can be configured to monitor the group common PDCCH for SFI and</w:t>
      </w:r>
      <w:r w:rsidRPr="00187E09">
        <w:rPr>
          <w:rFonts w:eastAsia="SimSun"/>
          <w:i/>
          <w:szCs w:val="20"/>
          <w:lang w:val="en-US" w:eastAsia="zh-CN"/>
        </w:rPr>
        <w:t xml:space="preserve"> the</w:t>
      </w:r>
      <w:r w:rsidRPr="00187E09">
        <w:rPr>
          <w:rFonts w:eastAsia="SimSun" w:hint="eastAsia"/>
          <w:i/>
          <w:szCs w:val="20"/>
          <w:lang w:val="en-US" w:eastAsia="zh-CN"/>
        </w:rPr>
        <w:t xml:space="preserve"> group common </w:t>
      </w:r>
      <w:r w:rsidRPr="00187E09">
        <w:rPr>
          <w:rFonts w:eastAsia="SimSun"/>
          <w:i/>
          <w:szCs w:val="20"/>
          <w:lang w:val="en-US" w:eastAsia="zh-CN"/>
        </w:rPr>
        <w:t>DCI</w:t>
      </w:r>
      <w:r w:rsidRPr="00187E09">
        <w:rPr>
          <w:rFonts w:eastAsia="SimSun" w:hint="eastAsia"/>
          <w:i/>
          <w:szCs w:val="20"/>
          <w:lang w:val="en-US" w:eastAsia="zh-CN"/>
        </w:rPr>
        <w:t xml:space="preserve"> for DL preemption indication within the same or </w:t>
      </w:r>
      <w:r w:rsidRPr="00187E09">
        <w:rPr>
          <w:rFonts w:eastAsia="SimSun"/>
          <w:i/>
          <w:szCs w:val="20"/>
          <w:lang w:val="en-US" w:eastAsia="zh-CN"/>
        </w:rPr>
        <w:t>different</w:t>
      </w:r>
      <w:r w:rsidRPr="00187E09">
        <w:rPr>
          <w:rFonts w:eastAsia="SimSun" w:hint="eastAsia"/>
          <w:i/>
          <w:szCs w:val="20"/>
          <w:lang w:val="en-US" w:eastAsia="zh-CN"/>
        </w:rPr>
        <w:t xml:space="preserve"> CORESETs</w:t>
      </w:r>
    </w:p>
    <w:p w14:paraId="4A373C34" w14:textId="77777777" w:rsidR="00187E09" w:rsidRPr="00187E09" w:rsidRDefault="00187E09" w:rsidP="00057F12">
      <w:pPr>
        <w:numPr>
          <w:ilvl w:val="3"/>
          <w:numId w:val="10"/>
        </w:numPr>
        <w:spacing w:after="0" w:line="240" w:lineRule="auto"/>
        <w:rPr>
          <w:rFonts w:eastAsia="SimSun"/>
          <w:b/>
          <w:i/>
          <w:szCs w:val="20"/>
          <w:lang w:val="en-US" w:eastAsia="zh-CN"/>
        </w:rPr>
      </w:pPr>
      <w:r w:rsidRPr="00187E09">
        <w:rPr>
          <w:rFonts w:eastAsia="SimSun"/>
          <w:b/>
          <w:i/>
          <w:szCs w:val="20"/>
          <w:lang w:val="en-US" w:eastAsia="zh-CN"/>
        </w:rPr>
        <w:t xml:space="preserve">As a </w:t>
      </w:r>
      <w:r w:rsidRPr="00187E09">
        <w:rPr>
          <w:rFonts w:eastAsia="SimSun"/>
          <w:b/>
          <w:i/>
          <w:szCs w:val="20"/>
          <w:highlight w:val="darkYellow"/>
          <w:lang w:val="en-US" w:eastAsia="zh-CN"/>
        </w:rPr>
        <w:t>w</w:t>
      </w:r>
      <w:r w:rsidRPr="00187E09">
        <w:rPr>
          <w:rFonts w:eastAsia="SimSun" w:hint="eastAsia"/>
          <w:b/>
          <w:i/>
          <w:szCs w:val="20"/>
          <w:highlight w:val="darkYellow"/>
          <w:lang w:val="en-US" w:eastAsia="zh-CN"/>
        </w:rPr>
        <w:t>orking assumption</w:t>
      </w:r>
    </w:p>
    <w:p w14:paraId="440D6F4E" w14:textId="77777777" w:rsidR="00187E09" w:rsidRPr="00187E09" w:rsidRDefault="00187E09" w:rsidP="00057F12">
      <w:pPr>
        <w:numPr>
          <w:ilvl w:val="4"/>
          <w:numId w:val="10"/>
        </w:numPr>
        <w:spacing w:after="0" w:line="240" w:lineRule="auto"/>
        <w:rPr>
          <w:rFonts w:eastAsia="SimSun"/>
          <w:i/>
          <w:szCs w:val="20"/>
          <w:lang w:val="en-US" w:eastAsia="zh-CN"/>
        </w:rPr>
      </w:pPr>
      <w:r w:rsidRPr="00187E09">
        <w:rPr>
          <w:rFonts w:eastAsia="SimSun"/>
          <w:i/>
          <w:szCs w:val="20"/>
          <w:lang w:val="en-US" w:eastAsia="zh-CN"/>
        </w:rPr>
        <w:t xml:space="preserve">The time </w:t>
      </w:r>
      <w:r w:rsidRPr="00187E09">
        <w:rPr>
          <w:rFonts w:eastAsia="SimSun" w:hint="eastAsia"/>
          <w:i/>
          <w:szCs w:val="20"/>
          <w:lang w:val="en-US" w:eastAsia="zh-CN"/>
        </w:rPr>
        <w:t>duration</w:t>
      </w:r>
      <w:r w:rsidRPr="00187E09">
        <w:rPr>
          <w:rFonts w:eastAsia="SimSun"/>
          <w:i/>
          <w:szCs w:val="20"/>
          <w:lang w:val="en-US" w:eastAsia="zh-CN"/>
        </w:rPr>
        <w:t xml:space="preserve"> of the reference downlink resource</w:t>
      </w:r>
      <w:r w:rsidRPr="00187E09">
        <w:rPr>
          <w:rFonts w:eastAsia="SimSun" w:hint="eastAsia"/>
          <w:i/>
          <w:szCs w:val="20"/>
          <w:lang w:val="en-US" w:eastAsia="zh-CN"/>
        </w:rPr>
        <w:t xml:space="preserve"> for preemption indication</w:t>
      </w:r>
      <w:r w:rsidRPr="00187E09">
        <w:rPr>
          <w:rFonts w:eastAsia="SimSun"/>
          <w:i/>
          <w:szCs w:val="20"/>
          <w:lang w:val="en-US" w:eastAsia="zh-CN"/>
        </w:rPr>
        <w:t xml:space="preserve"> equal</w:t>
      </w:r>
      <w:r w:rsidRPr="00187E09">
        <w:rPr>
          <w:rFonts w:eastAsia="SimSun" w:hint="eastAsia"/>
          <w:i/>
          <w:szCs w:val="20"/>
          <w:lang w:val="en-US" w:eastAsia="zh-CN"/>
        </w:rPr>
        <w:t>s</w:t>
      </w:r>
      <w:r w:rsidRPr="00187E09">
        <w:rPr>
          <w:rFonts w:eastAsia="SimSun"/>
          <w:i/>
          <w:szCs w:val="20"/>
          <w:lang w:val="en-US" w:eastAsia="zh-CN"/>
        </w:rPr>
        <w:t xml:space="preserve"> to the monitoring periodicity of the group-common DCI carrying the </w:t>
      </w:r>
      <w:r w:rsidRPr="00187E09">
        <w:rPr>
          <w:rFonts w:eastAsia="SimSun" w:hint="eastAsia"/>
          <w:i/>
          <w:szCs w:val="20"/>
          <w:lang w:val="en-US" w:eastAsia="zh-CN"/>
        </w:rPr>
        <w:t>preemption indication</w:t>
      </w:r>
    </w:p>
    <w:p w14:paraId="5273EA10" w14:textId="77777777" w:rsidR="00187E09" w:rsidRPr="00187E09" w:rsidRDefault="00187E09" w:rsidP="00057F12">
      <w:pPr>
        <w:numPr>
          <w:ilvl w:val="3"/>
          <w:numId w:val="10"/>
        </w:numPr>
        <w:spacing w:after="0" w:line="240" w:lineRule="auto"/>
        <w:rPr>
          <w:rFonts w:eastAsia="SimSun"/>
          <w:i/>
          <w:szCs w:val="20"/>
          <w:lang w:val="en-US" w:eastAsia="zh-CN"/>
        </w:rPr>
      </w:pPr>
      <w:r w:rsidRPr="00187E09">
        <w:rPr>
          <w:rFonts w:eastAsia="SimSun" w:hint="eastAsia"/>
          <w:i/>
          <w:szCs w:val="20"/>
          <w:lang w:val="en-US" w:eastAsia="zh-CN"/>
        </w:rPr>
        <w:t>For determination of the frequency region of the reference downlink resource for preemption indication, down select between the following options in RAN1#90bis</w:t>
      </w:r>
    </w:p>
    <w:p w14:paraId="43E742C7" w14:textId="77777777" w:rsidR="00187E09" w:rsidRPr="00187E09" w:rsidRDefault="00187E09" w:rsidP="00057F12">
      <w:pPr>
        <w:numPr>
          <w:ilvl w:val="4"/>
          <w:numId w:val="10"/>
        </w:numPr>
        <w:spacing w:after="0" w:line="240" w:lineRule="auto"/>
        <w:rPr>
          <w:rFonts w:eastAsia="SimSun"/>
          <w:i/>
          <w:szCs w:val="20"/>
          <w:lang w:val="en-US" w:eastAsia="zh-CN"/>
        </w:rPr>
      </w:pPr>
      <w:r w:rsidRPr="00187E09">
        <w:rPr>
          <w:rFonts w:eastAsia="SimSun" w:hint="eastAsia"/>
          <w:i/>
          <w:szCs w:val="20"/>
          <w:lang w:val="en-US" w:eastAsia="zh-CN"/>
        </w:rPr>
        <w:t xml:space="preserve">Option 1: The frequency region of the </w:t>
      </w:r>
      <w:r w:rsidRPr="00187E09">
        <w:rPr>
          <w:rFonts w:eastAsia="SimSun"/>
          <w:i/>
          <w:szCs w:val="20"/>
          <w:lang w:val="en-US" w:eastAsia="zh-CN"/>
        </w:rPr>
        <w:t>reference</w:t>
      </w:r>
      <w:r w:rsidRPr="00187E09">
        <w:rPr>
          <w:rFonts w:eastAsia="SimSun" w:hint="eastAsia"/>
          <w:i/>
          <w:szCs w:val="20"/>
          <w:lang w:val="en-US" w:eastAsia="zh-CN"/>
        </w:rPr>
        <w:t xml:space="preserve"> downlink resource is configured explicitly by RRC</w:t>
      </w:r>
    </w:p>
    <w:p w14:paraId="19F99367" w14:textId="77777777" w:rsidR="00187E09" w:rsidRPr="00187E09" w:rsidRDefault="00187E09" w:rsidP="00057F12">
      <w:pPr>
        <w:numPr>
          <w:ilvl w:val="4"/>
          <w:numId w:val="10"/>
        </w:numPr>
        <w:spacing w:after="0" w:line="240" w:lineRule="auto"/>
        <w:rPr>
          <w:rFonts w:eastAsia="SimSun"/>
          <w:i/>
          <w:szCs w:val="20"/>
          <w:lang w:val="en-US" w:eastAsia="zh-CN"/>
        </w:rPr>
      </w:pPr>
      <w:r w:rsidRPr="00187E09">
        <w:rPr>
          <w:rFonts w:eastAsia="SimSun"/>
          <w:i/>
          <w:szCs w:val="20"/>
          <w:lang w:val="en-US" w:eastAsia="zh-CN"/>
        </w:rPr>
        <w:t>O</w:t>
      </w:r>
      <w:r w:rsidRPr="00187E09">
        <w:rPr>
          <w:rFonts w:eastAsia="SimSun" w:hint="eastAsia"/>
          <w:i/>
          <w:szCs w:val="20"/>
          <w:lang w:val="en-US" w:eastAsia="zh-CN"/>
        </w:rPr>
        <w:t xml:space="preserve">ption 2: </w:t>
      </w:r>
      <w:r w:rsidRPr="00187E09">
        <w:rPr>
          <w:rFonts w:eastAsia="SimSun"/>
          <w:i/>
          <w:szCs w:val="20"/>
          <w:lang w:val="en-US" w:eastAsia="zh-CN"/>
        </w:rPr>
        <w:t xml:space="preserve">The </w:t>
      </w:r>
      <w:r w:rsidRPr="00187E09">
        <w:rPr>
          <w:rFonts w:eastAsia="SimSun" w:hint="eastAsia"/>
          <w:i/>
          <w:szCs w:val="20"/>
          <w:lang w:val="en-US" w:eastAsia="zh-CN"/>
        </w:rPr>
        <w:t>frequency</w:t>
      </w:r>
      <w:r w:rsidRPr="00187E09">
        <w:rPr>
          <w:rFonts w:eastAsia="SimSun"/>
          <w:i/>
          <w:szCs w:val="20"/>
          <w:lang w:val="en-US" w:eastAsia="zh-CN"/>
        </w:rPr>
        <w:t xml:space="preserve"> region of the reference downlink resource is</w:t>
      </w:r>
      <w:r w:rsidRPr="00187E09">
        <w:rPr>
          <w:rFonts w:eastAsia="SimSun" w:hint="eastAsia"/>
          <w:i/>
          <w:szCs w:val="20"/>
          <w:lang w:val="en-US" w:eastAsia="zh-CN"/>
        </w:rPr>
        <w:t xml:space="preserve"> implicitly derived by the active DL BWP</w:t>
      </w:r>
    </w:p>
    <w:p w14:paraId="1698985C" w14:textId="77777777" w:rsidR="00187E09" w:rsidRPr="00187E09" w:rsidRDefault="00187E09" w:rsidP="00057F12">
      <w:pPr>
        <w:numPr>
          <w:ilvl w:val="3"/>
          <w:numId w:val="10"/>
        </w:numPr>
        <w:spacing w:after="0" w:line="240" w:lineRule="auto"/>
        <w:rPr>
          <w:rFonts w:eastAsia="SimSun"/>
          <w:i/>
          <w:szCs w:val="20"/>
          <w:lang w:val="en-US" w:eastAsia="zh-CN"/>
        </w:rPr>
      </w:pPr>
      <w:r w:rsidRPr="00187E09">
        <w:rPr>
          <w:rFonts w:eastAsia="SimSun" w:hint="eastAsia"/>
          <w:i/>
          <w:szCs w:val="20"/>
          <w:lang w:val="en-US" w:eastAsia="zh-CN"/>
        </w:rPr>
        <w:t>NOTE: Companies are encouraged to address the issues highlighted in the offline summary T-doc R1-1716911</w:t>
      </w:r>
    </w:p>
    <w:p w14:paraId="1E230EBC" w14:textId="77777777" w:rsidR="00187E09" w:rsidRPr="00187E09" w:rsidRDefault="00187E09" w:rsidP="00057F12">
      <w:pPr>
        <w:numPr>
          <w:ilvl w:val="3"/>
          <w:numId w:val="10"/>
        </w:numPr>
        <w:spacing w:after="0" w:line="240" w:lineRule="auto"/>
        <w:rPr>
          <w:rFonts w:eastAsia="SimSun"/>
          <w:i/>
          <w:szCs w:val="20"/>
          <w:lang w:val="en-US" w:eastAsia="zh-CN"/>
        </w:rPr>
      </w:pPr>
      <w:r w:rsidRPr="00187E09">
        <w:rPr>
          <w:rFonts w:eastAsia="SimSun" w:hint="eastAsia"/>
          <w:i/>
          <w:szCs w:val="20"/>
          <w:lang w:val="en-US" w:eastAsia="zh-CN"/>
        </w:rPr>
        <w:t>The minimum periodicity for UE to monitor group common DCI for DL preemption indication is down-selected between</w:t>
      </w:r>
    </w:p>
    <w:p w14:paraId="41F90DD3" w14:textId="77777777" w:rsidR="00187E09" w:rsidRPr="00187E09" w:rsidRDefault="00187E09" w:rsidP="00057F12">
      <w:pPr>
        <w:numPr>
          <w:ilvl w:val="5"/>
          <w:numId w:val="10"/>
        </w:numPr>
        <w:spacing w:after="0" w:line="240" w:lineRule="auto"/>
        <w:rPr>
          <w:rFonts w:eastAsia="SimSun"/>
          <w:i/>
          <w:szCs w:val="20"/>
          <w:lang w:val="en-US" w:eastAsia="zh-CN"/>
        </w:rPr>
      </w:pPr>
      <w:r w:rsidRPr="00187E09">
        <w:rPr>
          <w:rFonts w:eastAsia="SimSun"/>
          <w:i/>
          <w:szCs w:val="20"/>
          <w:lang w:val="en-US" w:eastAsia="zh-CN"/>
        </w:rPr>
        <w:t>Option</w:t>
      </w:r>
      <w:r w:rsidRPr="00187E09">
        <w:rPr>
          <w:rFonts w:eastAsia="SimSun" w:hint="eastAsia"/>
          <w:i/>
          <w:szCs w:val="20"/>
          <w:lang w:val="en-US" w:eastAsia="zh-CN"/>
        </w:rPr>
        <w:t xml:space="preserve"> 1: one slot</w:t>
      </w:r>
    </w:p>
    <w:p w14:paraId="0A943517" w14:textId="77777777" w:rsidR="00187E09" w:rsidRPr="00187E09" w:rsidRDefault="00187E09" w:rsidP="00057F12">
      <w:pPr>
        <w:numPr>
          <w:ilvl w:val="5"/>
          <w:numId w:val="10"/>
        </w:numPr>
        <w:spacing w:after="0" w:line="240" w:lineRule="auto"/>
        <w:rPr>
          <w:rFonts w:eastAsia="SimSun"/>
          <w:i/>
          <w:szCs w:val="20"/>
          <w:lang w:val="en-US" w:eastAsia="zh-CN"/>
        </w:rPr>
      </w:pPr>
      <w:r w:rsidRPr="00187E09">
        <w:rPr>
          <w:rFonts w:eastAsia="SimSun" w:hint="eastAsia"/>
          <w:i/>
          <w:szCs w:val="20"/>
          <w:lang w:val="en-US" w:eastAsia="zh-CN"/>
        </w:rPr>
        <w:t xml:space="preserve">Option 2: less </w:t>
      </w:r>
      <w:r w:rsidRPr="00187E09">
        <w:rPr>
          <w:rFonts w:eastAsia="SimSun"/>
          <w:i/>
          <w:szCs w:val="20"/>
          <w:lang w:val="en-US" w:eastAsia="zh-CN"/>
        </w:rPr>
        <w:t>than</w:t>
      </w:r>
      <w:r w:rsidRPr="00187E09">
        <w:rPr>
          <w:rFonts w:eastAsia="SimSun" w:hint="eastAsia"/>
          <w:i/>
          <w:szCs w:val="20"/>
          <w:lang w:val="en-US" w:eastAsia="zh-CN"/>
        </w:rPr>
        <w:t xml:space="preserve"> a slot</w:t>
      </w:r>
    </w:p>
    <w:p w14:paraId="31F62005" w14:textId="77777777" w:rsidR="00187E09" w:rsidRDefault="00187E09" w:rsidP="00187E09">
      <w:pPr>
        <w:spacing w:after="0" w:line="240" w:lineRule="auto"/>
        <w:rPr>
          <w:lang w:eastAsia="x-none"/>
        </w:rPr>
      </w:pPr>
    </w:p>
    <w:p w14:paraId="6025AA25" w14:textId="27204E14" w:rsidR="00187E09" w:rsidRDefault="00187E09" w:rsidP="00226014">
      <w:pPr>
        <w:jc w:val="both"/>
        <w:rPr>
          <w:rFonts w:eastAsia="MS Mincho"/>
          <w:lang w:val="en-US"/>
        </w:rPr>
      </w:pPr>
      <w:r>
        <w:rPr>
          <w:rFonts w:eastAsia="MS Mincho"/>
          <w:lang w:val="en-US"/>
        </w:rPr>
        <w:t xml:space="preserve">During the offline discussion, it </w:t>
      </w:r>
      <w:r w:rsidR="00141348">
        <w:rPr>
          <w:rFonts w:eastAsia="MS Mincho"/>
          <w:lang w:val="en-US"/>
        </w:rPr>
        <w:t xml:space="preserve">was </w:t>
      </w:r>
      <w:r>
        <w:rPr>
          <w:rFonts w:eastAsia="MS Mincho"/>
          <w:lang w:val="en-US"/>
        </w:rPr>
        <w:t>apparent that there are some strongly held assumptions, which may not lead to a beneficial design for Pre-emption Indicator (PI).  This contribution will explore some of these assumptions or myths surrounding PI and address</w:t>
      </w:r>
      <w:r w:rsidR="00C54787">
        <w:rPr>
          <w:rFonts w:eastAsia="MS Mincho"/>
          <w:lang w:val="en-US"/>
        </w:rPr>
        <w:t>es</w:t>
      </w:r>
      <w:r>
        <w:rPr>
          <w:rFonts w:eastAsia="MS Mincho"/>
          <w:lang w:val="en-US"/>
        </w:rPr>
        <w:t xml:space="preserve"> the remaining issues in this topic.</w:t>
      </w:r>
    </w:p>
    <w:p w14:paraId="434C199A" w14:textId="63017975" w:rsidR="00226014" w:rsidRDefault="00187E09" w:rsidP="00226014">
      <w:pPr>
        <w:pStyle w:val="Heading1"/>
        <w:numPr>
          <w:ilvl w:val="0"/>
          <w:numId w:val="9"/>
        </w:numPr>
        <w:spacing w:after="120"/>
        <w:ind w:left="357" w:hanging="357"/>
      </w:pPr>
      <w:r>
        <w:t>Myths Surrounding Pre-emption Indicator</w:t>
      </w:r>
    </w:p>
    <w:p w14:paraId="4A9D6AD3" w14:textId="68CA9709" w:rsidR="00187E09" w:rsidRDefault="00360572" w:rsidP="00226014">
      <w:pPr>
        <w:rPr>
          <w:rFonts w:eastAsia="MS Mincho"/>
          <w:lang w:val="en-US"/>
        </w:rPr>
      </w:pPr>
      <w:r>
        <w:rPr>
          <w:rFonts w:eastAsia="MS Mincho"/>
          <w:lang w:val="en-US"/>
        </w:rPr>
        <w:t>In this section, we will explore 3 strongly held non-beneficial assumptions, i.e. myths surrounding PI.</w:t>
      </w:r>
    </w:p>
    <w:p w14:paraId="3E55487C" w14:textId="7CE96874" w:rsidR="00360572" w:rsidRPr="00360572" w:rsidRDefault="00360572" w:rsidP="00360572">
      <w:pPr>
        <w:pStyle w:val="Heading2"/>
        <w:numPr>
          <w:ilvl w:val="1"/>
          <w:numId w:val="9"/>
        </w:numPr>
        <w:rPr>
          <w:rFonts w:eastAsia="MS Mincho"/>
          <w:sz w:val="28"/>
          <w:lang w:val="en-US"/>
        </w:rPr>
      </w:pPr>
      <w:r w:rsidRPr="00360572">
        <w:rPr>
          <w:rFonts w:eastAsia="MS Mincho"/>
          <w:sz w:val="28"/>
          <w:lang w:val="en-US"/>
        </w:rPr>
        <w:t xml:space="preserve">Myth 1: URLLC Pre-emption occupies </w:t>
      </w:r>
      <w:r w:rsidR="00B13720">
        <w:rPr>
          <w:rFonts w:eastAsia="MS Mincho"/>
          <w:sz w:val="28"/>
          <w:lang w:val="en-US"/>
        </w:rPr>
        <w:t xml:space="preserve">an </w:t>
      </w:r>
      <w:r w:rsidRPr="00B13720">
        <w:rPr>
          <w:rFonts w:eastAsia="MS Mincho"/>
          <w:b/>
          <w:i/>
          <w:sz w:val="28"/>
          <w:lang w:val="en-US"/>
        </w:rPr>
        <w:t>infinite</w:t>
      </w:r>
      <w:r w:rsidRPr="00360572">
        <w:rPr>
          <w:rFonts w:eastAsia="MS Mincho"/>
          <w:sz w:val="28"/>
          <w:lang w:val="en-US"/>
        </w:rPr>
        <w:t xml:space="preserve"> frequency resource</w:t>
      </w:r>
    </w:p>
    <w:p w14:paraId="1307AB4F" w14:textId="5439788D" w:rsidR="008C71BB" w:rsidRDefault="00C54787" w:rsidP="00360572">
      <w:pPr>
        <w:rPr>
          <w:lang w:val="en-US"/>
        </w:rPr>
      </w:pPr>
      <w:r>
        <w:rPr>
          <w:lang w:val="en-US"/>
        </w:rPr>
        <w:t>There were proposals such as in [1] &amp; [2]</w:t>
      </w:r>
      <w:r w:rsidR="00141348">
        <w:rPr>
          <w:lang w:val="en-US"/>
        </w:rPr>
        <w:t>,</w:t>
      </w:r>
      <w:r>
        <w:rPr>
          <w:lang w:val="en-US"/>
        </w:rPr>
        <w:t xml:space="preserve"> and also in offline discussions in previous meeting</w:t>
      </w:r>
      <w:r w:rsidR="00141348">
        <w:rPr>
          <w:lang w:val="en-US"/>
        </w:rPr>
        <w:t>s,</w:t>
      </w:r>
      <w:r>
        <w:rPr>
          <w:lang w:val="en-US"/>
        </w:rPr>
        <w:t xml:space="preserve"> that the PI would need to </w:t>
      </w:r>
      <w:r w:rsidR="00141348">
        <w:rPr>
          <w:lang w:val="en-US"/>
        </w:rPr>
        <w:t xml:space="preserve">only </w:t>
      </w:r>
      <w:r>
        <w:rPr>
          <w:lang w:val="en-US"/>
        </w:rPr>
        <w:t xml:space="preserve">indicate the time, e.g. symbols, and so the UE would assume that the </w:t>
      </w:r>
      <w:r w:rsidRPr="00C54787">
        <w:rPr>
          <w:b/>
          <w:i/>
          <w:lang w:val="en-US"/>
        </w:rPr>
        <w:t>entire</w:t>
      </w:r>
      <w:r>
        <w:rPr>
          <w:lang w:val="en-US"/>
        </w:rPr>
        <w:t xml:space="preserve"> indicated symbols are pre-empted.  This proposal is a result of a deeply held belief that URLLC would occupy a large frequency resource.  It should firstly be appreciated that the PI addresses a Reference Downlink Region</w:t>
      </w:r>
      <w:r w:rsidR="00BC44B2">
        <w:rPr>
          <w:lang w:val="en-US"/>
        </w:rPr>
        <w:t xml:space="preserve"> (RDR)</w:t>
      </w:r>
      <w:r>
        <w:rPr>
          <w:lang w:val="en-US"/>
        </w:rPr>
        <w:t xml:space="preserve">, </w:t>
      </w:r>
      <w:r w:rsidR="00BC44B2">
        <w:rPr>
          <w:lang w:val="en-US"/>
        </w:rPr>
        <w:t xml:space="preserve">where </w:t>
      </w:r>
      <w:r>
        <w:rPr>
          <w:lang w:val="en-US"/>
        </w:rPr>
        <w:t xml:space="preserve">some companies even suggested that </w:t>
      </w:r>
      <w:r w:rsidR="00141348">
        <w:rPr>
          <w:lang w:val="en-US"/>
        </w:rPr>
        <w:t xml:space="preserve">the RDR </w:t>
      </w:r>
      <w:r>
        <w:rPr>
          <w:lang w:val="en-US"/>
        </w:rPr>
        <w:t>is as wide as that of a BWP [3]</w:t>
      </w:r>
      <w:r w:rsidR="00BC44B2">
        <w:rPr>
          <w:lang w:val="en-US"/>
        </w:rPr>
        <w:t xml:space="preserve"> &amp; [4], which can be 100 MHz or more.  This suggest</w:t>
      </w:r>
      <w:r w:rsidR="00141348">
        <w:rPr>
          <w:lang w:val="en-US"/>
        </w:rPr>
        <w:t>s</w:t>
      </w:r>
      <w:r w:rsidR="00BC44B2">
        <w:rPr>
          <w:lang w:val="en-US"/>
        </w:rPr>
        <w:t xml:space="preserve"> that URLLC Pre-emption will </w:t>
      </w:r>
      <w:r w:rsidR="00141348">
        <w:rPr>
          <w:lang w:val="en-US"/>
        </w:rPr>
        <w:t xml:space="preserve">occupy </w:t>
      </w:r>
      <w:r w:rsidR="00BC44B2">
        <w:rPr>
          <w:lang w:val="en-US"/>
        </w:rPr>
        <w:t xml:space="preserve">the entire frequency domain of the RDR </w:t>
      </w:r>
      <w:r w:rsidR="00BC44B2" w:rsidRPr="00307264">
        <w:rPr>
          <w:b/>
          <w:i/>
          <w:lang w:val="en-US"/>
        </w:rPr>
        <w:t xml:space="preserve">regardless </w:t>
      </w:r>
      <w:r w:rsidR="00307264">
        <w:rPr>
          <w:b/>
          <w:i/>
          <w:lang w:val="en-US"/>
        </w:rPr>
        <w:t>of the</w:t>
      </w:r>
      <w:r w:rsidR="00BC44B2" w:rsidRPr="00307264">
        <w:rPr>
          <w:b/>
          <w:i/>
          <w:lang w:val="en-US"/>
        </w:rPr>
        <w:t xml:space="preserve"> </w:t>
      </w:r>
      <w:r w:rsidR="00307264">
        <w:rPr>
          <w:b/>
          <w:i/>
          <w:lang w:val="en-US"/>
        </w:rPr>
        <w:t xml:space="preserve">width of the RDR in </w:t>
      </w:r>
      <w:r w:rsidR="00BC44B2" w:rsidRPr="00307264">
        <w:rPr>
          <w:b/>
          <w:i/>
          <w:lang w:val="en-US"/>
        </w:rPr>
        <w:t>the frequency domain</w:t>
      </w:r>
      <w:r w:rsidR="00BC44B2">
        <w:rPr>
          <w:lang w:val="en-US"/>
        </w:rPr>
        <w:t>, i.e. URLLC Pre-emption occupies an infinite frequency resource.</w:t>
      </w:r>
      <w:r w:rsidR="004473FC">
        <w:rPr>
          <w:lang w:val="en-US"/>
        </w:rPr>
        <w:t xml:space="preserve">  </w:t>
      </w:r>
      <w:r w:rsidR="008C71BB">
        <w:rPr>
          <w:lang w:val="en-US"/>
        </w:rPr>
        <w:t xml:space="preserve">It should firstly be noted that if this myth is true, then the operation of URLLC will have very serious impact </w:t>
      </w:r>
      <w:r w:rsidR="00141348">
        <w:rPr>
          <w:lang w:val="en-US"/>
        </w:rPr>
        <w:t xml:space="preserve">on </w:t>
      </w:r>
      <w:r w:rsidR="008C71BB">
        <w:rPr>
          <w:lang w:val="en-US"/>
        </w:rPr>
        <w:t xml:space="preserve">the capacity of the system.  </w:t>
      </w:r>
    </w:p>
    <w:p w14:paraId="458A62DB" w14:textId="080E7335" w:rsidR="008C71BB" w:rsidRPr="008C71BB" w:rsidRDefault="008C71BB" w:rsidP="00360572">
      <w:pPr>
        <w:rPr>
          <w:b/>
          <w:lang w:val="en-US"/>
        </w:rPr>
      </w:pPr>
      <w:r w:rsidRPr="008C71BB">
        <w:rPr>
          <w:b/>
          <w:lang w:val="en-US"/>
        </w:rPr>
        <w:lastRenderedPageBreak/>
        <w:t xml:space="preserve">Observation 1: If URLLC occupies the entire frequency resource regardless of the bandwidth, then URLLC operation would have </w:t>
      </w:r>
      <w:r w:rsidR="00E50F3F">
        <w:rPr>
          <w:b/>
          <w:lang w:val="en-US"/>
        </w:rPr>
        <w:t xml:space="preserve">a </w:t>
      </w:r>
      <w:r w:rsidRPr="008C71BB">
        <w:rPr>
          <w:b/>
          <w:lang w:val="en-US"/>
        </w:rPr>
        <w:t>very serious capacity impact to the system.</w:t>
      </w:r>
    </w:p>
    <w:p w14:paraId="68FF57E7" w14:textId="77777777" w:rsidR="008C71BB" w:rsidRDefault="008C71BB" w:rsidP="00360572">
      <w:pPr>
        <w:rPr>
          <w:lang w:val="en-US"/>
        </w:rPr>
      </w:pPr>
    </w:p>
    <w:p w14:paraId="37A71138" w14:textId="42E0D1AF" w:rsidR="00BC44B2" w:rsidRDefault="004473FC" w:rsidP="00360572">
      <w:pPr>
        <w:rPr>
          <w:lang w:val="en-US"/>
        </w:rPr>
      </w:pPr>
      <w:r>
        <w:rPr>
          <w:lang w:val="en-US"/>
        </w:rPr>
        <w:t>The expected payload of URLLC is 32 bytes and with a code rate of 1/3 using QPSK</w:t>
      </w:r>
      <w:r w:rsidR="00285C2B">
        <w:rPr>
          <w:lang w:val="en-US"/>
        </w:rPr>
        <w:t xml:space="preserve"> and 24 bit CRC</w:t>
      </w:r>
      <w:r>
        <w:rPr>
          <w:lang w:val="en-US"/>
        </w:rPr>
        <w:t xml:space="preserve">, </w:t>
      </w:r>
      <w:r w:rsidR="00E50F3F">
        <w:rPr>
          <w:lang w:val="en-US"/>
        </w:rPr>
        <w:t xml:space="preserve">this </w:t>
      </w:r>
      <w:r>
        <w:rPr>
          <w:lang w:val="en-US"/>
        </w:rPr>
        <w:t xml:space="preserve">would require </w:t>
      </w:r>
      <w:r w:rsidR="00285C2B">
        <w:rPr>
          <w:lang w:val="en-US"/>
        </w:rPr>
        <w:t>420</w:t>
      </w:r>
      <w:r w:rsidR="00285C2B">
        <w:rPr>
          <w:lang w:val="en-US"/>
        </w:rPr>
        <w:t xml:space="preserve"> </w:t>
      </w:r>
      <w:r>
        <w:rPr>
          <w:lang w:val="en-US"/>
        </w:rPr>
        <w:t>REs.  If URLLC use</w:t>
      </w:r>
      <w:r w:rsidR="00E50F3F">
        <w:rPr>
          <w:lang w:val="en-US"/>
        </w:rPr>
        <w:t>s</w:t>
      </w:r>
      <w:r>
        <w:rPr>
          <w:lang w:val="en-US"/>
        </w:rPr>
        <w:t xml:space="preserve"> 2 symbols, the number of subcarriers used is therefore </w:t>
      </w:r>
      <w:r w:rsidR="00285C2B">
        <w:rPr>
          <w:lang w:val="en-US"/>
        </w:rPr>
        <w:t>210</w:t>
      </w:r>
      <w:r w:rsidR="00285C2B">
        <w:rPr>
          <w:lang w:val="en-US"/>
        </w:rPr>
        <w:t xml:space="preserve"> </w:t>
      </w:r>
      <w:r>
        <w:rPr>
          <w:lang w:val="en-US"/>
        </w:rPr>
        <w:t xml:space="preserve">and </w:t>
      </w:r>
      <w:r w:rsidR="00285C2B">
        <w:rPr>
          <w:lang w:val="en-US"/>
        </w:rPr>
        <w:t xml:space="preserve">if we </w:t>
      </w:r>
      <w:r w:rsidR="000D2D19">
        <w:rPr>
          <w:lang w:val="en-US"/>
        </w:rPr>
        <w:t>assume 25% DMRS then we have 280 subcarriers.  F</w:t>
      </w:r>
      <w:r>
        <w:rPr>
          <w:lang w:val="en-US"/>
        </w:rPr>
        <w:t xml:space="preserve">or </w:t>
      </w:r>
      <w:r w:rsidR="000D2D19">
        <w:rPr>
          <w:lang w:val="en-US"/>
        </w:rPr>
        <w:t xml:space="preserve">a </w:t>
      </w:r>
      <w:r>
        <w:rPr>
          <w:lang w:val="en-US"/>
        </w:rPr>
        <w:t xml:space="preserve">15 kHz subcarrier spacing this leads to about </w:t>
      </w:r>
      <w:r w:rsidR="000D2D19">
        <w:rPr>
          <w:lang w:val="en-US"/>
        </w:rPr>
        <w:t>4.2</w:t>
      </w:r>
      <w:r>
        <w:rPr>
          <w:lang w:val="en-US"/>
        </w:rPr>
        <w:t xml:space="preserve"> MHz.</w:t>
      </w:r>
      <w:r w:rsidR="00307264">
        <w:rPr>
          <w:lang w:val="en-US"/>
        </w:rPr>
        <w:t xml:space="preserve"> Even if we further </w:t>
      </w:r>
      <w:r w:rsidR="00E50F3F">
        <w:rPr>
          <w:lang w:val="en-US"/>
        </w:rPr>
        <w:t xml:space="preserve">halve </w:t>
      </w:r>
      <w:r w:rsidR="00307264">
        <w:rPr>
          <w:lang w:val="en-US"/>
        </w:rPr>
        <w:t xml:space="preserve">the coding rate to 1/6, this would just take up </w:t>
      </w:r>
      <w:r w:rsidR="000D2D19">
        <w:rPr>
          <w:lang w:val="en-US"/>
        </w:rPr>
        <w:t>8.4</w:t>
      </w:r>
      <w:r w:rsidR="00307264">
        <w:rPr>
          <w:lang w:val="en-US"/>
        </w:rPr>
        <w:t xml:space="preserve"> MHz which is significantly less than what the myth suggested. It should be noted that independent evaluation in [6] came to the same conclusion.</w:t>
      </w:r>
    </w:p>
    <w:p w14:paraId="2D1D4908" w14:textId="2E3CF359" w:rsidR="004473FC" w:rsidRPr="00307264" w:rsidRDefault="004473FC" w:rsidP="00360572">
      <w:pPr>
        <w:rPr>
          <w:b/>
          <w:lang w:val="en-US"/>
        </w:rPr>
      </w:pPr>
      <w:r w:rsidRPr="00307264">
        <w:rPr>
          <w:b/>
          <w:lang w:val="en-US"/>
        </w:rPr>
        <w:t xml:space="preserve">Observation </w:t>
      </w:r>
      <w:r w:rsidR="008C71BB">
        <w:rPr>
          <w:b/>
          <w:lang w:val="en-US"/>
        </w:rPr>
        <w:t>2</w:t>
      </w:r>
      <w:r w:rsidRPr="00307264">
        <w:rPr>
          <w:b/>
          <w:lang w:val="en-US"/>
        </w:rPr>
        <w:t xml:space="preserve">: </w:t>
      </w:r>
      <w:r w:rsidR="00307264" w:rsidRPr="00307264">
        <w:rPr>
          <w:b/>
          <w:lang w:val="en-US"/>
        </w:rPr>
        <w:t xml:space="preserve">URLLC pre-emption occupies around </w:t>
      </w:r>
      <w:r w:rsidR="000D2D19">
        <w:rPr>
          <w:b/>
          <w:lang w:val="en-US"/>
        </w:rPr>
        <w:t>4</w:t>
      </w:r>
      <w:r w:rsidR="000D2D19" w:rsidRPr="00307264">
        <w:rPr>
          <w:b/>
          <w:lang w:val="en-US"/>
        </w:rPr>
        <w:t xml:space="preserve"> </w:t>
      </w:r>
      <w:r w:rsidR="00307264" w:rsidRPr="00307264">
        <w:rPr>
          <w:b/>
          <w:lang w:val="en-US"/>
        </w:rPr>
        <w:t xml:space="preserve">MHz in the frequency domain which is just </w:t>
      </w:r>
      <w:r w:rsidR="000D2D19">
        <w:rPr>
          <w:b/>
          <w:lang w:val="en-US"/>
        </w:rPr>
        <w:t>4</w:t>
      </w:r>
      <w:r w:rsidR="00307264" w:rsidRPr="00307264">
        <w:rPr>
          <w:b/>
          <w:lang w:val="en-US"/>
        </w:rPr>
        <w:t xml:space="preserve">% of a 100 MHz </w:t>
      </w:r>
      <w:r w:rsidR="00AA75BD">
        <w:rPr>
          <w:b/>
          <w:lang w:val="en-US"/>
        </w:rPr>
        <w:t>bandwidth</w:t>
      </w:r>
      <w:r w:rsidR="00307264" w:rsidRPr="00307264">
        <w:rPr>
          <w:b/>
          <w:lang w:val="en-US"/>
        </w:rPr>
        <w:t>.</w:t>
      </w:r>
    </w:p>
    <w:p w14:paraId="5D4B977E" w14:textId="77777777" w:rsidR="00307264" w:rsidRDefault="00307264" w:rsidP="00360572">
      <w:pPr>
        <w:rPr>
          <w:lang w:val="en-US"/>
        </w:rPr>
      </w:pPr>
    </w:p>
    <w:p w14:paraId="2B334F1A" w14:textId="6A7D8B62" w:rsidR="00307264" w:rsidRDefault="00307264" w:rsidP="00360572">
      <w:pPr>
        <w:rPr>
          <w:lang w:val="en-US"/>
        </w:rPr>
      </w:pPr>
      <w:r>
        <w:rPr>
          <w:lang w:val="en-US"/>
        </w:rPr>
        <w:t>The consequence of designing the PI based on this myth is explained in</w:t>
      </w:r>
      <w:r w:rsidR="00B45741">
        <w:rPr>
          <w:lang w:val="en-US"/>
        </w:rPr>
        <w:t xml:space="preserve"> </w:t>
      </w:r>
      <w:r w:rsidR="00B45741">
        <w:rPr>
          <w:lang w:val="en-US"/>
        </w:rPr>
        <w:fldChar w:fldCharType="begin"/>
      </w:r>
      <w:r w:rsidR="00B45741">
        <w:rPr>
          <w:lang w:val="en-US"/>
        </w:rPr>
        <w:instrText xml:space="preserve"> REF _Ref494460583 \h </w:instrText>
      </w:r>
      <w:r w:rsidR="00B45741">
        <w:rPr>
          <w:lang w:val="en-US"/>
        </w:rPr>
      </w:r>
      <w:r w:rsidR="00B45741">
        <w:rPr>
          <w:lang w:val="en-US"/>
        </w:rPr>
        <w:fldChar w:fldCharType="separate"/>
      </w:r>
      <w:r w:rsidR="00B45741">
        <w:t xml:space="preserve">Figure </w:t>
      </w:r>
      <w:r w:rsidR="00B45741">
        <w:rPr>
          <w:noProof/>
        </w:rPr>
        <w:t>1</w:t>
      </w:r>
      <w:r w:rsidR="00B45741">
        <w:rPr>
          <w:lang w:val="en-US"/>
        </w:rPr>
        <w:fldChar w:fldCharType="end"/>
      </w:r>
      <w:r w:rsidR="00B45741">
        <w:rPr>
          <w:lang w:val="en-US"/>
        </w:rPr>
        <w:t>. Here UE1 and UE2 receive eMBB transmission</w:t>
      </w:r>
      <w:r w:rsidR="00E157F8">
        <w:rPr>
          <w:lang w:val="en-US"/>
        </w:rPr>
        <w:t>s</w:t>
      </w:r>
      <w:r w:rsidR="00B45741">
        <w:rPr>
          <w:lang w:val="en-US"/>
        </w:rPr>
        <w:t xml:space="preserve"> from the gNB within a RDR.  A URLLC pre-emption occurred as shown in </w:t>
      </w:r>
      <w:r w:rsidR="00B45741">
        <w:rPr>
          <w:lang w:val="en-US"/>
        </w:rPr>
        <w:fldChar w:fldCharType="begin"/>
      </w:r>
      <w:r w:rsidR="00B45741">
        <w:rPr>
          <w:lang w:val="en-US"/>
        </w:rPr>
        <w:instrText xml:space="preserve"> REF _Ref494460583 \h </w:instrText>
      </w:r>
      <w:r w:rsidR="00B45741">
        <w:rPr>
          <w:lang w:val="en-US"/>
        </w:rPr>
      </w:r>
      <w:r w:rsidR="00B45741">
        <w:rPr>
          <w:lang w:val="en-US"/>
        </w:rPr>
        <w:fldChar w:fldCharType="separate"/>
      </w:r>
      <w:r w:rsidR="00B45741">
        <w:t xml:space="preserve">Figure </w:t>
      </w:r>
      <w:r w:rsidR="00B45741">
        <w:rPr>
          <w:noProof/>
        </w:rPr>
        <w:t>1</w:t>
      </w:r>
      <w:r w:rsidR="00B45741">
        <w:rPr>
          <w:lang w:val="en-US"/>
        </w:rPr>
        <w:fldChar w:fldCharType="end"/>
      </w:r>
      <w:r w:rsidR="00B45741">
        <w:rPr>
          <w:lang w:val="en-US"/>
        </w:rPr>
        <w:t>, where it occupies a fraction of the RDR, which pre-empt</w:t>
      </w:r>
      <w:r w:rsidR="00E157F8">
        <w:rPr>
          <w:lang w:val="en-US"/>
        </w:rPr>
        <w:t>s</w:t>
      </w:r>
      <w:r w:rsidR="00B45741">
        <w:rPr>
          <w:lang w:val="en-US"/>
        </w:rPr>
        <w:t xml:space="preserve"> some eMBB resources for UE1 but it does not pre-empt any eMBB resources in UE2.  If the PI is designed based on the assumption that the URLLC </w:t>
      </w:r>
      <w:r w:rsidR="00E157F8">
        <w:rPr>
          <w:lang w:val="en-US"/>
        </w:rPr>
        <w:t xml:space="preserve">transmission </w:t>
      </w:r>
      <w:r w:rsidR="00B45741">
        <w:rPr>
          <w:lang w:val="en-US"/>
        </w:rPr>
        <w:t xml:space="preserve">always </w:t>
      </w:r>
      <w:r w:rsidR="00E157F8">
        <w:rPr>
          <w:lang w:val="en-US"/>
        </w:rPr>
        <w:t xml:space="preserve">occupies </w:t>
      </w:r>
      <w:r w:rsidR="00B45741">
        <w:rPr>
          <w:lang w:val="en-US"/>
        </w:rPr>
        <w:t xml:space="preserve">the entire frequency region of the RDR, the PI would exaggerate the level of pre-empted resources and hence would wrongly indicate to UE2 that some of its symbols are </w:t>
      </w:r>
      <w:r w:rsidR="00B45741" w:rsidRPr="00B45741">
        <w:rPr>
          <w:b/>
          <w:i/>
          <w:lang w:val="en-US"/>
        </w:rPr>
        <w:t>completely</w:t>
      </w:r>
      <w:r w:rsidR="00B45741">
        <w:rPr>
          <w:lang w:val="en-US"/>
        </w:rPr>
        <w:t xml:space="preserve"> pre-empted.  That is, UE2 would experience a ghost pre-emption where no pre-emption of its eMBB resource occurred</w:t>
      </w:r>
      <w:r w:rsidR="00E157F8">
        <w:rPr>
          <w:lang w:val="en-US"/>
        </w:rPr>
        <w:t>,</w:t>
      </w:r>
      <w:r w:rsidR="00B45741">
        <w:rPr>
          <w:lang w:val="en-US"/>
        </w:rPr>
        <w:t xml:space="preserve"> being wrongly indicated that it is pre-empted.  UE2 would then unnecessarily flush some of its uncorrupted symbols which may lead to it failing its eMBB decoding.</w:t>
      </w:r>
      <w:r w:rsidR="000D2D19">
        <w:rPr>
          <w:lang w:val="en-US"/>
        </w:rPr>
        <w:t xml:space="preserve">  One can argue that the URLLC can be distributed across a large bandwidth but the URLLC would only occupy a small subset of the frequency resources and exaggerating the pre-emption to say it hits the entire frequency bandwidth would lead to very high level of ghost pre-emptions. </w:t>
      </w:r>
    </w:p>
    <w:p w14:paraId="2A84E7CC" w14:textId="321D7C2B" w:rsidR="00307264" w:rsidRDefault="00BC4449" w:rsidP="007720FB">
      <w:pPr>
        <w:jc w:val="center"/>
        <w:rPr>
          <w:lang w:val="en-US"/>
        </w:rPr>
      </w:pPr>
      <w:r>
        <w:rPr>
          <w:noProof/>
          <w:lang w:eastAsia="en-GB"/>
        </w:rPr>
        <w:drawing>
          <wp:inline distT="0" distB="0" distL="0" distR="0" wp14:anchorId="1D49BADC" wp14:editId="72E76513">
            <wp:extent cx="3169920" cy="28105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69920" cy="2810510"/>
                    </a:xfrm>
                    <a:prstGeom prst="rect">
                      <a:avLst/>
                    </a:prstGeom>
                    <a:noFill/>
                  </pic:spPr>
                </pic:pic>
              </a:graphicData>
            </a:graphic>
          </wp:inline>
        </w:drawing>
      </w:r>
    </w:p>
    <w:p w14:paraId="16ED38D3" w14:textId="23B9E147" w:rsidR="007720FB" w:rsidRDefault="007720FB" w:rsidP="00B45741">
      <w:pPr>
        <w:pStyle w:val="Caption"/>
        <w:jc w:val="center"/>
        <w:rPr>
          <w:lang w:val="en-US"/>
        </w:rPr>
      </w:pPr>
      <w:bookmarkStart w:id="13" w:name="_Ref494460583"/>
      <w:r>
        <w:t xml:space="preserve">Figure </w:t>
      </w:r>
      <w:r w:rsidR="007E3661">
        <w:fldChar w:fldCharType="begin"/>
      </w:r>
      <w:r w:rsidR="007E3661">
        <w:instrText xml:space="preserve"> SEQ Figure \* ARABIC </w:instrText>
      </w:r>
      <w:r w:rsidR="007E3661">
        <w:fldChar w:fldCharType="separate"/>
      </w:r>
      <w:r w:rsidR="00075240">
        <w:rPr>
          <w:noProof/>
        </w:rPr>
        <w:t>1</w:t>
      </w:r>
      <w:r w:rsidR="007E3661">
        <w:rPr>
          <w:noProof/>
        </w:rPr>
        <w:fldChar w:fldCharType="end"/>
      </w:r>
      <w:bookmarkEnd w:id="13"/>
      <w:r>
        <w:t xml:space="preserve">: Ghost pre-emption due to PI </w:t>
      </w:r>
      <w:r w:rsidR="00B45741">
        <w:t>exaggeration</w:t>
      </w:r>
      <w:r>
        <w:t xml:space="preserve"> of pre-empted </w:t>
      </w:r>
      <w:r w:rsidR="00B45741">
        <w:t>resources.</w:t>
      </w:r>
    </w:p>
    <w:p w14:paraId="47BD3D79" w14:textId="77777777" w:rsidR="00307264" w:rsidRDefault="00307264" w:rsidP="00360572">
      <w:pPr>
        <w:rPr>
          <w:lang w:val="en-US"/>
        </w:rPr>
      </w:pPr>
    </w:p>
    <w:p w14:paraId="79639C16" w14:textId="74A4AA79" w:rsidR="00637E65" w:rsidRDefault="00B10251" w:rsidP="00360572">
      <w:pPr>
        <w:rPr>
          <w:b/>
          <w:lang w:val="en-US"/>
        </w:rPr>
      </w:pPr>
      <w:r w:rsidRPr="00445147">
        <w:rPr>
          <w:b/>
          <w:lang w:val="en-US"/>
        </w:rPr>
        <w:t xml:space="preserve">Observation </w:t>
      </w:r>
      <w:r w:rsidR="008C71BB">
        <w:rPr>
          <w:b/>
          <w:lang w:val="en-US"/>
        </w:rPr>
        <w:t>3</w:t>
      </w:r>
      <w:r w:rsidRPr="00445147">
        <w:rPr>
          <w:b/>
          <w:lang w:val="en-US"/>
        </w:rPr>
        <w:t xml:space="preserve">: </w:t>
      </w:r>
      <w:r w:rsidR="00445147" w:rsidRPr="00445147">
        <w:rPr>
          <w:b/>
          <w:lang w:val="en-US"/>
        </w:rPr>
        <w:t>Exaggerating that</w:t>
      </w:r>
      <w:r w:rsidRPr="00445147">
        <w:rPr>
          <w:b/>
          <w:lang w:val="en-US"/>
        </w:rPr>
        <w:t xml:space="preserve"> </w:t>
      </w:r>
      <w:r w:rsidR="00445147" w:rsidRPr="00445147">
        <w:rPr>
          <w:b/>
          <w:lang w:val="en-US"/>
        </w:rPr>
        <w:t xml:space="preserve">a </w:t>
      </w:r>
      <w:r w:rsidRPr="00445147">
        <w:rPr>
          <w:b/>
          <w:lang w:val="en-US"/>
        </w:rPr>
        <w:t xml:space="preserve">URLLC pre-emption </w:t>
      </w:r>
      <w:r w:rsidR="00445147" w:rsidRPr="00445147">
        <w:rPr>
          <w:b/>
          <w:lang w:val="en-US"/>
        </w:rPr>
        <w:t xml:space="preserve">affects </w:t>
      </w:r>
      <w:r w:rsidR="00BC4449">
        <w:rPr>
          <w:b/>
          <w:lang w:val="en-US"/>
        </w:rPr>
        <w:t xml:space="preserve">the </w:t>
      </w:r>
      <w:r w:rsidR="00445147" w:rsidRPr="00445147">
        <w:rPr>
          <w:b/>
          <w:lang w:val="en-US"/>
        </w:rPr>
        <w:t>entire symbol(s) in the PI would lead to ghost pre-emption (uncorrupted resources wrongly accused of being corrupted)</w:t>
      </w:r>
    </w:p>
    <w:p w14:paraId="3B9B3AD6" w14:textId="0EF804B7" w:rsidR="00360572" w:rsidRPr="00445147" w:rsidRDefault="00637E65" w:rsidP="00360572">
      <w:pPr>
        <w:rPr>
          <w:b/>
          <w:lang w:val="en-US"/>
        </w:rPr>
      </w:pPr>
      <w:r>
        <w:rPr>
          <w:b/>
          <w:lang w:val="en-US"/>
        </w:rPr>
        <w:lastRenderedPageBreak/>
        <w:t xml:space="preserve">Observation </w:t>
      </w:r>
      <w:r w:rsidR="008C71BB">
        <w:rPr>
          <w:b/>
          <w:lang w:val="en-US"/>
        </w:rPr>
        <w:t>4</w:t>
      </w:r>
      <w:r>
        <w:rPr>
          <w:b/>
          <w:lang w:val="en-US"/>
        </w:rPr>
        <w:t>: Ghost pre-emption is highly undesirable because it can</w:t>
      </w:r>
      <w:r w:rsidR="00445147" w:rsidRPr="00445147">
        <w:rPr>
          <w:b/>
          <w:lang w:val="en-US"/>
        </w:rPr>
        <w:t xml:space="preserve"> lead to </w:t>
      </w:r>
      <w:r>
        <w:rPr>
          <w:b/>
          <w:lang w:val="en-US"/>
        </w:rPr>
        <w:t xml:space="preserve">an unnecessary </w:t>
      </w:r>
      <w:r w:rsidR="00445147" w:rsidRPr="00445147">
        <w:rPr>
          <w:b/>
          <w:lang w:val="en-US"/>
        </w:rPr>
        <w:t>failed eMBB decoding.</w:t>
      </w:r>
    </w:p>
    <w:p w14:paraId="2D504001" w14:textId="77777777" w:rsidR="00445147" w:rsidRDefault="00445147" w:rsidP="00226014">
      <w:pPr>
        <w:rPr>
          <w:rFonts w:eastAsia="MS Mincho"/>
          <w:b/>
          <w:lang w:val="en-US"/>
        </w:rPr>
      </w:pPr>
    </w:p>
    <w:p w14:paraId="7AB42E37" w14:textId="77AEBA6C" w:rsidR="00445147" w:rsidRPr="00445147" w:rsidRDefault="00445147" w:rsidP="00226014">
      <w:pPr>
        <w:rPr>
          <w:rFonts w:eastAsia="MS Mincho"/>
          <w:lang w:val="en-US"/>
        </w:rPr>
      </w:pPr>
      <w:r>
        <w:rPr>
          <w:rFonts w:eastAsia="MS Mincho"/>
          <w:lang w:val="en-US"/>
        </w:rPr>
        <w:t xml:space="preserve">Hence designing the PI based on this myth is not beneficial and can be harmful.  It should be appreciated the level of </w:t>
      </w:r>
      <w:r w:rsidRPr="00445147">
        <w:rPr>
          <w:rFonts w:eastAsia="MS Mincho"/>
          <w:lang w:val="en-US"/>
        </w:rPr>
        <w:t xml:space="preserve">ghost pre-emption </w:t>
      </w:r>
      <w:r>
        <w:rPr>
          <w:rFonts w:eastAsia="MS Mincho"/>
          <w:lang w:val="en-US"/>
        </w:rPr>
        <w:t xml:space="preserve">depends on the </w:t>
      </w:r>
      <w:r w:rsidRPr="00445147">
        <w:rPr>
          <w:rFonts w:eastAsia="MS Mincho"/>
          <w:lang w:val="en-US"/>
        </w:rPr>
        <w:t xml:space="preserve">granularity </w:t>
      </w:r>
      <w:r>
        <w:rPr>
          <w:rFonts w:eastAsia="MS Mincho"/>
          <w:lang w:val="en-US"/>
        </w:rPr>
        <w:t>of the PI and it should be minimised</w:t>
      </w:r>
      <w:r w:rsidRPr="00445147">
        <w:rPr>
          <w:rFonts w:eastAsia="MS Mincho"/>
          <w:lang w:val="en-US"/>
        </w:rPr>
        <w:t>.</w:t>
      </w:r>
    </w:p>
    <w:p w14:paraId="1417FB05" w14:textId="70FCCCF8" w:rsidR="00187E09" w:rsidRPr="00445147" w:rsidRDefault="00445147" w:rsidP="00226014">
      <w:pPr>
        <w:rPr>
          <w:rFonts w:eastAsia="MS Mincho"/>
          <w:b/>
          <w:lang w:val="en-US"/>
        </w:rPr>
      </w:pPr>
      <w:r w:rsidRPr="00445147">
        <w:rPr>
          <w:rFonts w:eastAsia="MS Mincho"/>
          <w:b/>
          <w:lang w:val="en-US"/>
        </w:rPr>
        <w:t>Proposal 1: The PI design should minimize the presence of ghost pre-emption.</w:t>
      </w:r>
    </w:p>
    <w:p w14:paraId="7705A489" w14:textId="77777777" w:rsidR="00187E09" w:rsidRDefault="00187E09" w:rsidP="00226014">
      <w:pPr>
        <w:rPr>
          <w:rFonts w:eastAsia="MS Mincho"/>
          <w:lang w:val="en-US"/>
        </w:rPr>
      </w:pPr>
    </w:p>
    <w:p w14:paraId="67297B02" w14:textId="0C492586" w:rsidR="00445147" w:rsidRPr="00360572" w:rsidRDefault="00445147" w:rsidP="00445147">
      <w:pPr>
        <w:pStyle w:val="Heading2"/>
        <w:numPr>
          <w:ilvl w:val="1"/>
          <w:numId w:val="9"/>
        </w:numPr>
        <w:rPr>
          <w:rFonts w:eastAsia="MS Mincho"/>
          <w:sz w:val="28"/>
          <w:lang w:val="en-US"/>
        </w:rPr>
      </w:pPr>
      <w:r w:rsidRPr="00360572">
        <w:rPr>
          <w:rFonts w:eastAsia="MS Mincho"/>
          <w:sz w:val="28"/>
          <w:lang w:val="en-US"/>
        </w:rPr>
        <w:t xml:space="preserve">Myth </w:t>
      </w:r>
      <w:r>
        <w:rPr>
          <w:rFonts w:eastAsia="MS Mincho"/>
          <w:sz w:val="28"/>
          <w:lang w:val="en-US"/>
        </w:rPr>
        <w:t>2</w:t>
      </w:r>
      <w:r w:rsidRPr="00360572">
        <w:rPr>
          <w:rFonts w:eastAsia="MS Mincho"/>
          <w:sz w:val="28"/>
          <w:lang w:val="en-US"/>
        </w:rPr>
        <w:t xml:space="preserve">: </w:t>
      </w:r>
      <w:r w:rsidR="00B13720">
        <w:rPr>
          <w:rFonts w:eastAsia="MS Mincho"/>
          <w:sz w:val="28"/>
          <w:lang w:val="en-US"/>
        </w:rPr>
        <w:t>Reference DL Region</w:t>
      </w:r>
      <w:r>
        <w:rPr>
          <w:rFonts w:eastAsia="MS Mincho"/>
          <w:sz w:val="28"/>
          <w:lang w:val="en-US"/>
        </w:rPr>
        <w:t xml:space="preserve"> </w:t>
      </w:r>
      <w:r>
        <w:rPr>
          <w:rFonts w:eastAsia="MS Mincho"/>
          <w:b/>
          <w:i/>
          <w:sz w:val="28"/>
          <w:lang w:val="en-US"/>
        </w:rPr>
        <w:t xml:space="preserve">must </w:t>
      </w:r>
      <w:r w:rsidR="00CE7785">
        <w:rPr>
          <w:rFonts w:eastAsia="MS Mincho"/>
          <w:sz w:val="28"/>
          <w:lang w:val="en-US"/>
        </w:rPr>
        <w:t xml:space="preserve">be the same as </w:t>
      </w:r>
      <w:r w:rsidR="00B13720">
        <w:rPr>
          <w:rFonts w:eastAsia="MS Mincho"/>
          <w:sz w:val="28"/>
          <w:lang w:val="en-US"/>
        </w:rPr>
        <w:t>Bandwidth Part</w:t>
      </w:r>
    </w:p>
    <w:p w14:paraId="2E86250A" w14:textId="4E976F5F" w:rsidR="00187E09" w:rsidRDefault="00CE7785" w:rsidP="00445147">
      <w:pPr>
        <w:rPr>
          <w:lang w:val="en-US"/>
        </w:rPr>
      </w:pPr>
      <w:r>
        <w:rPr>
          <w:lang w:val="en-US"/>
        </w:rPr>
        <w:t xml:space="preserve">Bandwidth Part (BWP) is introduced in NR where a UE can be configured to occupy a subset of a very large system bandwidth, where this configured subset becomes the UE’s active BWP where it will operates in.  This concept may </w:t>
      </w:r>
      <w:r w:rsidR="00E157F8">
        <w:rPr>
          <w:lang w:val="en-US"/>
        </w:rPr>
        <w:t xml:space="preserve">have </w:t>
      </w:r>
      <w:r>
        <w:rPr>
          <w:lang w:val="en-US"/>
        </w:rPr>
        <w:t>seemed new in NR</w:t>
      </w:r>
      <w:r w:rsidR="00E157F8">
        <w:rPr>
          <w:lang w:val="en-US"/>
        </w:rPr>
        <w:t>,</w:t>
      </w:r>
      <w:r>
        <w:rPr>
          <w:lang w:val="en-US"/>
        </w:rPr>
        <w:t xml:space="preserve"> but it has long been used in ancient times since Rel-13 eMTC and Rel-13 NB-IoT.  Since BWP addresses a subset of the system bandwidth and RDR also addresses a subset of the system bandwidth, then it is assumed that they both must be the same and therefore the </w:t>
      </w:r>
      <w:r w:rsidR="002D454E">
        <w:rPr>
          <w:lang w:val="en-US"/>
        </w:rPr>
        <w:t xml:space="preserve">frequency domain of the </w:t>
      </w:r>
      <w:r>
        <w:rPr>
          <w:lang w:val="en-US"/>
        </w:rPr>
        <w:t>RDR is implicitly configured to be the same as that of the BWP [3], [4].</w:t>
      </w:r>
      <w:r w:rsidR="002D454E">
        <w:rPr>
          <w:lang w:val="en-US"/>
        </w:rPr>
        <w:t xml:space="preserve">  Unfortunately, designing based on this myth has some consequences.</w:t>
      </w:r>
    </w:p>
    <w:p w14:paraId="5256CC09" w14:textId="0D2C9723" w:rsidR="002D454E" w:rsidRDefault="002D454E" w:rsidP="00445147">
      <w:pPr>
        <w:rPr>
          <w:lang w:val="en-US"/>
        </w:rPr>
      </w:pPr>
      <w:r>
        <w:rPr>
          <w:lang w:val="en-US"/>
        </w:rPr>
        <w:t xml:space="preserve">It should be appreciated that the PI is carried by a Group Common DCI (GC-DCI), which, as its name </w:t>
      </w:r>
      <w:r w:rsidR="00E157F8">
        <w:rPr>
          <w:lang w:val="en-US"/>
        </w:rPr>
        <w:t>suggests</w:t>
      </w:r>
      <w:r>
        <w:rPr>
          <w:lang w:val="en-US"/>
        </w:rPr>
        <w:t>, addresses a group of UE</w:t>
      </w:r>
      <w:r w:rsidR="00E157F8">
        <w:rPr>
          <w:lang w:val="en-US"/>
        </w:rPr>
        <w:t>s</w:t>
      </w:r>
      <w:r>
        <w:rPr>
          <w:lang w:val="en-US"/>
        </w:rPr>
        <w:t>.  The Reference DL Region (RDR) is a time/frequency resource that can be addressed by the PI.  The word</w:t>
      </w:r>
      <w:r w:rsidR="00D461EE">
        <w:rPr>
          <w:lang w:val="en-US"/>
        </w:rPr>
        <w:t>s</w:t>
      </w:r>
      <w:r>
        <w:rPr>
          <w:lang w:val="en-US"/>
        </w:rPr>
        <w:t xml:space="preserve"> “common” and “reference” would clearly suggest that the resources in the RDR must be common to the UEs monitoring the corresponding GC-DCI (carrying the PI) and they should all have the same common </w:t>
      </w:r>
      <w:r w:rsidR="00D461EE">
        <w:rPr>
          <w:lang w:val="en-US"/>
        </w:rPr>
        <w:t>reference of where these</w:t>
      </w:r>
      <w:r>
        <w:rPr>
          <w:lang w:val="en-US"/>
        </w:rPr>
        <w:t xml:space="preserve"> resources are.</w:t>
      </w:r>
    </w:p>
    <w:p w14:paraId="238AEB40" w14:textId="44BD734C" w:rsidR="002D454E" w:rsidRPr="00383560" w:rsidRDefault="002D454E" w:rsidP="00445147">
      <w:pPr>
        <w:rPr>
          <w:b/>
          <w:lang w:val="en-US"/>
        </w:rPr>
      </w:pPr>
      <w:r w:rsidRPr="00383560">
        <w:rPr>
          <w:b/>
          <w:lang w:val="en-US"/>
        </w:rPr>
        <w:t xml:space="preserve">Observation </w:t>
      </w:r>
      <w:r w:rsidR="008C71BB">
        <w:rPr>
          <w:b/>
          <w:lang w:val="en-US"/>
        </w:rPr>
        <w:t>5</w:t>
      </w:r>
      <w:r w:rsidRPr="00383560">
        <w:rPr>
          <w:b/>
          <w:lang w:val="en-US"/>
        </w:rPr>
        <w:t xml:space="preserve">: </w:t>
      </w:r>
      <w:r w:rsidR="00383560" w:rsidRPr="00383560">
        <w:rPr>
          <w:b/>
          <w:lang w:val="en-US"/>
        </w:rPr>
        <w:t>Since GC-DCI addresses a group of UEs, these UEs need to have a common reference of the resources in the RDR.</w:t>
      </w:r>
    </w:p>
    <w:p w14:paraId="7A845924" w14:textId="77777777" w:rsidR="00383560" w:rsidRDefault="00383560" w:rsidP="00445147">
      <w:pPr>
        <w:rPr>
          <w:lang w:val="en-US"/>
        </w:rPr>
      </w:pPr>
    </w:p>
    <w:p w14:paraId="6DA3C16D" w14:textId="72042566" w:rsidR="00383560" w:rsidRDefault="00383560" w:rsidP="00226014">
      <w:pPr>
        <w:rPr>
          <w:rFonts w:eastAsia="MS Mincho"/>
          <w:lang w:val="en-US"/>
        </w:rPr>
      </w:pPr>
      <w:r>
        <w:rPr>
          <w:lang w:val="en-US"/>
        </w:rPr>
        <w:t>In contrast, BWP is UE specific.  That is different UEs can have different subset</w:t>
      </w:r>
      <w:r w:rsidR="00E157F8">
        <w:rPr>
          <w:lang w:val="en-US"/>
        </w:rPr>
        <w:t>s</w:t>
      </w:r>
      <w:r>
        <w:rPr>
          <w:lang w:val="en-US"/>
        </w:rPr>
        <w:t xml:space="preserve"> (i.e. BWP) of the system bandwidth.  Hence forcing RDR</w:t>
      </w:r>
      <w:r w:rsidR="00E157F8">
        <w:rPr>
          <w:lang w:val="en-US"/>
        </w:rPr>
        <w:t>,</w:t>
      </w:r>
      <w:r>
        <w:rPr>
          <w:lang w:val="en-US"/>
        </w:rPr>
        <w:t xml:space="preserve"> that is group specific</w:t>
      </w:r>
      <w:r w:rsidR="00E157F8">
        <w:rPr>
          <w:lang w:val="en-US"/>
        </w:rPr>
        <w:t>,</w:t>
      </w:r>
      <w:r>
        <w:rPr>
          <w:lang w:val="en-US"/>
        </w:rPr>
        <w:t xml:space="preserve"> to be the same as BWP</w:t>
      </w:r>
      <w:r w:rsidR="00E157F8">
        <w:rPr>
          <w:lang w:val="en-US"/>
        </w:rPr>
        <w:t>,</w:t>
      </w:r>
      <w:r>
        <w:rPr>
          <w:lang w:val="en-US"/>
        </w:rPr>
        <w:t xml:space="preserve"> which is UE specific</w:t>
      </w:r>
      <w:r w:rsidR="00E157F8">
        <w:rPr>
          <w:lang w:val="en-US"/>
        </w:rPr>
        <w:t>,</w:t>
      </w:r>
      <w:r>
        <w:rPr>
          <w:lang w:val="en-US"/>
        </w:rPr>
        <w:t xml:space="preserve"> would lead to ambiguity in the reference resource region addressed by the GC-DCI carrying the PI.</w:t>
      </w:r>
      <w:r w:rsidR="008B6BA2">
        <w:rPr>
          <w:lang w:val="en-US"/>
        </w:rPr>
        <w:t xml:space="preserve">  </w:t>
      </w:r>
      <w:r>
        <w:rPr>
          <w:rFonts w:eastAsia="MS Mincho"/>
          <w:lang w:val="en-US"/>
        </w:rPr>
        <w:t xml:space="preserve">The consequence of designing the RDR of the PI based on this myth is shown in </w:t>
      </w:r>
      <w:r w:rsidR="008B6BA2">
        <w:rPr>
          <w:rFonts w:eastAsia="MS Mincho"/>
          <w:lang w:val="en-US"/>
        </w:rPr>
        <w:fldChar w:fldCharType="begin"/>
      </w:r>
      <w:r w:rsidR="008B6BA2">
        <w:rPr>
          <w:rFonts w:eastAsia="MS Mincho"/>
          <w:lang w:val="en-US"/>
        </w:rPr>
        <w:instrText xml:space="preserve"> REF _Ref494465854 \h </w:instrText>
      </w:r>
      <w:r w:rsidR="008B6BA2">
        <w:rPr>
          <w:rFonts w:eastAsia="MS Mincho"/>
          <w:lang w:val="en-US"/>
        </w:rPr>
      </w:r>
      <w:r w:rsidR="008B6BA2">
        <w:rPr>
          <w:rFonts w:eastAsia="MS Mincho"/>
          <w:lang w:val="en-US"/>
        </w:rPr>
        <w:fldChar w:fldCharType="separate"/>
      </w:r>
      <w:r w:rsidR="008B6BA2">
        <w:t xml:space="preserve">Figure </w:t>
      </w:r>
      <w:r w:rsidR="008B6BA2">
        <w:rPr>
          <w:noProof/>
        </w:rPr>
        <w:t>2</w:t>
      </w:r>
      <w:r w:rsidR="008B6BA2">
        <w:rPr>
          <w:rFonts w:eastAsia="MS Mincho"/>
          <w:lang w:val="en-US"/>
        </w:rPr>
        <w:fldChar w:fldCharType="end"/>
      </w:r>
      <w:r w:rsidR="008B6BA2">
        <w:rPr>
          <w:rFonts w:eastAsia="MS Mincho"/>
          <w:lang w:val="en-US"/>
        </w:rPr>
        <w:t xml:space="preserve">.  Here UE1 is configured with a BWP ranging from frequency </w:t>
      </w:r>
      <w:r w:rsidR="008B6BA2" w:rsidRPr="008B6BA2">
        <w:rPr>
          <w:rFonts w:eastAsia="MS Mincho"/>
          <w:i/>
          <w:lang w:val="en-US"/>
        </w:rPr>
        <w:t>f</w:t>
      </w:r>
      <w:r w:rsidR="008B6BA2" w:rsidRPr="008B6BA2">
        <w:rPr>
          <w:rFonts w:eastAsia="MS Mincho"/>
          <w:vertAlign w:val="subscript"/>
          <w:lang w:val="en-US"/>
        </w:rPr>
        <w:t>2</w:t>
      </w:r>
      <w:r w:rsidR="008B6BA2">
        <w:rPr>
          <w:rFonts w:eastAsia="MS Mincho"/>
          <w:lang w:val="en-US"/>
        </w:rPr>
        <w:t xml:space="preserve"> to </w:t>
      </w:r>
      <w:r w:rsidR="008B6BA2" w:rsidRPr="008B6BA2">
        <w:rPr>
          <w:rFonts w:eastAsia="MS Mincho"/>
          <w:i/>
          <w:lang w:val="en-US"/>
        </w:rPr>
        <w:t>f</w:t>
      </w:r>
      <w:r w:rsidR="008B6BA2" w:rsidRPr="008B6BA2">
        <w:rPr>
          <w:rFonts w:eastAsia="MS Mincho"/>
          <w:vertAlign w:val="subscript"/>
          <w:lang w:val="en-US"/>
        </w:rPr>
        <w:t>4</w:t>
      </w:r>
      <w:r w:rsidR="008B6BA2">
        <w:rPr>
          <w:rFonts w:eastAsia="MS Mincho"/>
          <w:lang w:val="en-US"/>
        </w:rPr>
        <w:t xml:space="preserve"> whilst UE2’s BWP is from frequency </w:t>
      </w:r>
      <w:r w:rsidR="008B6BA2" w:rsidRPr="008B6BA2">
        <w:rPr>
          <w:rFonts w:eastAsia="MS Mincho"/>
          <w:i/>
          <w:lang w:val="en-US"/>
        </w:rPr>
        <w:t>f</w:t>
      </w:r>
      <w:r w:rsidR="008B6BA2">
        <w:rPr>
          <w:rFonts w:eastAsia="MS Mincho"/>
          <w:vertAlign w:val="subscript"/>
          <w:lang w:val="en-US"/>
        </w:rPr>
        <w:t>1</w:t>
      </w:r>
      <w:r w:rsidR="008B6BA2">
        <w:rPr>
          <w:rFonts w:eastAsia="MS Mincho"/>
          <w:lang w:val="en-US"/>
        </w:rPr>
        <w:t xml:space="preserve"> to </w:t>
      </w:r>
      <w:r w:rsidR="008B6BA2" w:rsidRPr="008B6BA2">
        <w:rPr>
          <w:rFonts w:eastAsia="MS Mincho"/>
          <w:i/>
          <w:lang w:val="en-US"/>
        </w:rPr>
        <w:t>f</w:t>
      </w:r>
      <w:r w:rsidR="008B6BA2">
        <w:rPr>
          <w:rFonts w:eastAsia="MS Mincho"/>
          <w:vertAlign w:val="subscript"/>
          <w:lang w:val="en-US"/>
        </w:rPr>
        <w:t>3</w:t>
      </w:r>
      <w:r w:rsidR="008B6BA2">
        <w:rPr>
          <w:rFonts w:eastAsia="MS Mincho"/>
          <w:lang w:val="en-US"/>
        </w:rPr>
        <w:t>.  UE1 and UE2 can be configured to monitor a GC-DCI and forcing the frequency domain of the GC-DCI’s RDR to be same as these UEs’ BWP</w:t>
      </w:r>
      <w:r w:rsidR="00D13E62">
        <w:rPr>
          <w:rFonts w:eastAsia="MS Mincho"/>
          <w:lang w:val="en-US"/>
        </w:rPr>
        <w:t>s</w:t>
      </w:r>
      <w:r w:rsidR="008B6BA2">
        <w:rPr>
          <w:rFonts w:eastAsia="MS Mincho"/>
          <w:lang w:val="en-US"/>
        </w:rPr>
        <w:t xml:space="preserve"> would lead to a different understanding of where the RDR frequency regions are.  In this example, an URLLC pre-emption occurred at the top left hand corner of UE1’s BWP and this is indicated by the PI.  UE2 reading this PI but having a different BWP would assume that there is an URLLC pre-emption at the top left hand corner of its BWP and hence suffers from ghost pre-emption.  It should also be noted that the granularity of the pre-emption indicated by the PI is likely to scale with the RDR (and here the BWP) and since UE2’s BWP is larger than that of UE1’s, the ghost pre-emption seen by UE2 is </w:t>
      </w:r>
      <w:r w:rsidR="00A70CB5">
        <w:rPr>
          <w:rFonts w:eastAsia="MS Mincho"/>
          <w:lang w:val="en-US"/>
        </w:rPr>
        <w:t xml:space="preserve">not only in the wrong place but it is </w:t>
      </w:r>
      <w:r w:rsidR="008B6BA2">
        <w:rPr>
          <w:rFonts w:eastAsia="MS Mincho"/>
          <w:lang w:val="en-US"/>
        </w:rPr>
        <w:t>larger tha</w:t>
      </w:r>
      <w:r w:rsidR="00A70CB5">
        <w:rPr>
          <w:rFonts w:eastAsia="MS Mincho"/>
          <w:lang w:val="en-US"/>
        </w:rPr>
        <w:t>n that of the actual pre-emption!</w:t>
      </w:r>
    </w:p>
    <w:p w14:paraId="76B65CD4" w14:textId="58AF6FAF" w:rsidR="008B6BA2" w:rsidRDefault="008B6BA2" w:rsidP="008B6BA2">
      <w:pPr>
        <w:jc w:val="center"/>
        <w:rPr>
          <w:rFonts w:eastAsia="MS Mincho"/>
          <w:lang w:val="en-US"/>
        </w:rPr>
      </w:pPr>
      <w:r>
        <w:rPr>
          <w:rFonts w:eastAsia="MS Mincho"/>
          <w:noProof/>
          <w:lang w:eastAsia="en-GB"/>
        </w:rPr>
        <w:lastRenderedPageBreak/>
        <w:drawing>
          <wp:inline distT="0" distB="0" distL="0" distR="0" wp14:anchorId="7669431E" wp14:editId="1AEEDD60">
            <wp:extent cx="3286125" cy="27920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86125" cy="2792095"/>
                    </a:xfrm>
                    <a:prstGeom prst="rect">
                      <a:avLst/>
                    </a:prstGeom>
                    <a:noFill/>
                  </pic:spPr>
                </pic:pic>
              </a:graphicData>
            </a:graphic>
          </wp:inline>
        </w:drawing>
      </w:r>
    </w:p>
    <w:p w14:paraId="38C2246F" w14:textId="6F97F4F7" w:rsidR="008B6BA2" w:rsidRDefault="008B6BA2" w:rsidP="008B6BA2">
      <w:pPr>
        <w:pStyle w:val="Caption"/>
        <w:jc w:val="center"/>
        <w:rPr>
          <w:rFonts w:eastAsia="MS Mincho"/>
          <w:lang w:val="en-US"/>
        </w:rPr>
      </w:pPr>
      <w:bookmarkStart w:id="14" w:name="_Ref494465854"/>
      <w:r>
        <w:t xml:space="preserve">Figure </w:t>
      </w:r>
      <w:r w:rsidR="007E3661">
        <w:fldChar w:fldCharType="begin"/>
      </w:r>
      <w:r w:rsidR="007E3661">
        <w:instrText xml:space="preserve"> SEQ Figure \* ARABIC </w:instrText>
      </w:r>
      <w:r w:rsidR="007E3661">
        <w:fldChar w:fldCharType="separate"/>
      </w:r>
      <w:r w:rsidR="00075240">
        <w:rPr>
          <w:noProof/>
        </w:rPr>
        <w:t>2</w:t>
      </w:r>
      <w:r w:rsidR="007E3661">
        <w:rPr>
          <w:noProof/>
        </w:rPr>
        <w:fldChar w:fldCharType="end"/>
      </w:r>
      <w:bookmarkEnd w:id="14"/>
      <w:r>
        <w:t>: Forcing RDR to be same as BWP of two different UEs</w:t>
      </w:r>
    </w:p>
    <w:p w14:paraId="6E7EA08A" w14:textId="77777777" w:rsidR="008B6BA2" w:rsidRPr="00383560" w:rsidRDefault="008B6BA2" w:rsidP="00226014">
      <w:pPr>
        <w:rPr>
          <w:rFonts w:eastAsia="MS Mincho"/>
          <w:lang w:val="en-US"/>
        </w:rPr>
      </w:pPr>
    </w:p>
    <w:p w14:paraId="3F0F117A" w14:textId="2F9AC1B6" w:rsidR="008B6BA2" w:rsidRPr="00383560" w:rsidRDefault="008B6BA2" w:rsidP="008B6BA2">
      <w:pPr>
        <w:rPr>
          <w:rFonts w:eastAsia="MS Mincho"/>
          <w:b/>
          <w:lang w:val="en-US"/>
        </w:rPr>
      </w:pPr>
      <w:r w:rsidRPr="00383560">
        <w:rPr>
          <w:b/>
          <w:lang w:val="en-US"/>
        </w:rPr>
        <w:t xml:space="preserve">Observation </w:t>
      </w:r>
      <w:r w:rsidR="008C71BB">
        <w:rPr>
          <w:b/>
          <w:lang w:val="en-US"/>
        </w:rPr>
        <w:t>6</w:t>
      </w:r>
      <w:r w:rsidRPr="00383560">
        <w:rPr>
          <w:b/>
          <w:lang w:val="en-US"/>
        </w:rPr>
        <w:t>: RDR is group specific whilst BWP is UE specific and hence forcing RDR to be the same as BWP would lead to ambiguity in the referenced resource</w:t>
      </w:r>
      <w:r w:rsidR="00A70CB5">
        <w:rPr>
          <w:b/>
          <w:lang w:val="en-US"/>
        </w:rPr>
        <w:t xml:space="preserve"> region addressed by the GC-DCI.  This will lead to ghost pre-emption.</w:t>
      </w:r>
    </w:p>
    <w:p w14:paraId="2C75C9CC" w14:textId="77777777" w:rsidR="00226014" w:rsidRDefault="00226014" w:rsidP="00226014">
      <w:pPr>
        <w:rPr>
          <w:rFonts w:eastAsia="MS Mincho"/>
          <w:lang w:val="en-US"/>
        </w:rPr>
      </w:pPr>
    </w:p>
    <w:p w14:paraId="28A6CD04" w14:textId="0EDD713C" w:rsidR="006116D9" w:rsidRDefault="00D8491D" w:rsidP="00226014">
      <w:pPr>
        <w:rPr>
          <w:rFonts w:eastAsia="MS Mincho"/>
          <w:lang w:val="en-US"/>
        </w:rPr>
      </w:pPr>
      <w:r>
        <w:rPr>
          <w:rFonts w:eastAsia="MS Mincho"/>
          <w:lang w:val="en-US"/>
        </w:rPr>
        <w:t>It wa</w:t>
      </w:r>
      <w:r w:rsidR="006116D9">
        <w:rPr>
          <w:rFonts w:eastAsia="MS Mincho"/>
          <w:lang w:val="en-US"/>
        </w:rPr>
        <w:t xml:space="preserve">s argued that the UEs configured to a GC-DCI </w:t>
      </w:r>
      <w:r w:rsidR="006116D9" w:rsidRPr="00D8491D">
        <w:rPr>
          <w:rFonts w:eastAsia="MS Mincho"/>
          <w:b/>
          <w:i/>
          <w:lang w:val="en-US"/>
        </w:rPr>
        <w:t>must be</w:t>
      </w:r>
      <w:r w:rsidR="006116D9">
        <w:rPr>
          <w:rFonts w:eastAsia="MS Mincho"/>
          <w:lang w:val="en-US"/>
        </w:rPr>
        <w:t xml:space="preserve"> configured with the same BWP.  It isn’t clear why such a restriction is imposed unnecessarily on the network especially since </w:t>
      </w:r>
      <w:r w:rsidR="00C335F2">
        <w:rPr>
          <w:rFonts w:eastAsia="MS Mincho"/>
          <w:lang w:val="en-US"/>
        </w:rPr>
        <w:t xml:space="preserve">the configuration of BWP should not be tied to PI and furthermore </w:t>
      </w:r>
      <w:r w:rsidR="006116D9">
        <w:rPr>
          <w:rFonts w:eastAsia="MS Mincho"/>
          <w:lang w:val="en-US"/>
        </w:rPr>
        <w:t>the discussion on BWP isn’t complete</w:t>
      </w:r>
      <w:r>
        <w:rPr>
          <w:rFonts w:eastAsia="MS Mincho"/>
          <w:lang w:val="en-US"/>
        </w:rPr>
        <w:t>d</w:t>
      </w:r>
      <w:r w:rsidR="006116D9">
        <w:rPr>
          <w:rFonts w:eastAsia="MS Mincho"/>
          <w:lang w:val="en-US"/>
        </w:rPr>
        <w:t xml:space="preserve"> yet.  </w:t>
      </w:r>
      <w:r>
        <w:rPr>
          <w:rFonts w:eastAsia="MS Mincho"/>
          <w:lang w:val="en-US"/>
        </w:rPr>
        <w:t>Even if we impose such a restriction, it should be noted that the BWP can be very large, e.g. 100 MHz.  The payload of the GC-DCI is likely going to be fixed and so the granularity of the PI would scale according to the size of the RDR.  Hence forcing the RDR to be same as BWP would lead to very coarse frequency granularity.  As noted previously UE is more likely to suffer from ghost pre-emption with coarse granularity.</w:t>
      </w:r>
    </w:p>
    <w:p w14:paraId="33611A9E" w14:textId="08C88972" w:rsidR="00D8491D" w:rsidRPr="00C335F2" w:rsidRDefault="00D8491D" w:rsidP="00226014">
      <w:pPr>
        <w:rPr>
          <w:rFonts w:eastAsia="MS Mincho"/>
          <w:b/>
          <w:lang w:val="en-US"/>
        </w:rPr>
      </w:pPr>
      <w:r w:rsidRPr="00C335F2">
        <w:rPr>
          <w:rFonts w:eastAsia="MS Mincho"/>
          <w:b/>
          <w:lang w:val="en-US"/>
        </w:rPr>
        <w:t xml:space="preserve">Observation </w:t>
      </w:r>
      <w:r w:rsidR="008C71BB">
        <w:rPr>
          <w:rFonts w:eastAsia="MS Mincho"/>
          <w:b/>
          <w:lang w:val="en-US"/>
        </w:rPr>
        <w:t>7</w:t>
      </w:r>
      <w:r w:rsidRPr="00C335F2">
        <w:rPr>
          <w:rFonts w:eastAsia="MS Mincho"/>
          <w:b/>
          <w:lang w:val="en-US"/>
        </w:rPr>
        <w:t>: The frequency domain of a BWP can be very large and forcing</w:t>
      </w:r>
      <w:r w:rsidR="00C335F2" w:rsidRPr="00C335F2">
        <w:rPr>
          <w:rFonts w:eastAsia="MS Mincho"/>
          <w:b/>
          <w:lang w:val="en-US"/>
        </w:rPr>
        <w:t xml:space="preserve"> the RDR to adopt the same frequency bandwidth would lead to coarse frequency PI granularity</w:t>
      </w:r>
      <w:r w:rsidR="00C335F2">
        <w:rPr>
          <w:rFonts w:eastAsia="MS Mincho"/>
          <w:b/>
          <w:lang w:val="en-US"/>
        </w:rPr>
        <w:t xml:space="preserve"> without any scope of reducing it.</w:t>
      </w:r>
    </w:p>
    <w:p w14:paraId="2E9C2E88" w14:textId="77777777" w:rsidR="00C335F2" w:rsidRDefault="00C335F2" w:rsidP="00226014">
      <w:pPr>
        <w:rPr>
          <w:rFonts w:eastAsia="MS Mincho"/>
          <w:lang w:val="en-US"/>
        </w:rPr>
      </w:pPr>
    </w:p>
    <w:p w14:paraId="19AC9BA9" w14:textId="02AEDBE1" w:rsidR="00C335F2" w:rsidRDefault="002C776B" w:rsidP="00226014">
      <w:pPr>
        <w:rPr>
          <w:rFonts w:eastAsia="MS Mincho"/>
          <w:lang w:val="en-US"/>
        </w:rPr>
      </w:pPr>
      <w:r>
        <w:rPr>
          <w:rFonts w:eastAsia="MS Mincho"/>
          <w:lang w:val="en-US"/>
        </w:rPr>
        <w:t xml:space="preserve">The main argument for forcing the frequency domain of the RDR to be the same as that of UE’s BWP is that it would reduce the number of RRC configuration bits compared to explicitly configuring the frequency range of the RDR.  Firstly it should be noted that this configuration is unlikely to require </w:t>
      </w:r>
      <w:r w:rsidR="00D13E62">
        <w:rPr>
          <w:rFonts w:eastAsia="MS Mincho"/>
          <w:lang w:val="en-US"/>
        </w:rPr>
        <w:t xml:space="preserve">a </w:t>
      </w:r>
      <w:r>
        <w:rPr>
          <w:rFonts w:eastAsia="MS Mincho"/>
          <w:lang w:val="en-US"/>
        </w:rPr>
        <w:t>significant number of bits (RAN2 can always find efficient way</w:t>
      </w:r>
      <w:r w:rsidR="00D13E62">
        <w:rPr>
          <w:rFonts w:eastAsia="MS Mincho"/>
          <w:lang w:val="en-US"/>
        </w:rPr>
        <w:t>s</w:t>
      </w:r>
      <w:r>
        <w:rPr>
          <w:rFonts w:eastAsia="MS Mincho"/>
          <w:lang w:val="en-US"/>
        </w:rPr>
        <w:t xml:space="preserve"> of configuring parameters).  Secondly, RRC configuration is more </w:t>
      </w:r>
      <w:r w:rsidR="00D13E62">
        <w:rPr>
          <w:rFonts w:eastAsia="MS Mincho"/>
          <w:lang w:val="en-US"/>
        </w:rPr>
        <w:t xml:space="preserve">tolerant </w:t>
      </w:r>
      <w:r>
        <w:rPr>
          <w:rFonts w:eastAsia="MS Mincho"/>
          <w:lang w:val="en-US"/>
        </w:rPr>
        <w:t xml:space="preserve">to higher payload compared to DCI configuration since this </w:t>
      </w:r>
      <w:r w:rsidR="00D13E62">
        <w:rPr>
          <w:rFonts w:eastAsia="MS Mincho"/>
          <w:lang w:val="en-US"/>
        </w:rPr>
        <w:t xml:space="preserve">RRC configuration </w:t>
      </w:r>
      <w:r>
        <w:rPr>
          <w:rFonts w:eastAsia="MS Mincho"/>
          <w:lang w:val="en-US"/>
        </w:rPr>
        <w:t xml:space="preserve">is typically done infrequently and </w:t>
      </w:r>
      <w:r w:rsidR="00D13E62">
        <w:rPr>
          <w:rFonts w:eastAsia="MS Mincho"/>
          <w:lang w:val="en-US"/>
        </w:rPr>
        <w:t xml:space="preserve">is </w:t>
      </w:r>
      <w:r>
        <w:rPr>
          <w:rFonts w:eastAsia="MS Mincho"/>
          <w:lang w:val="en-US"/>
        </w:rPr>
        <w:t xml:space="preserve">not expected to be dynamic.  Lastly, the bits used by RRC configuration will be insignificant compared to the traffic of an eMBB UE (which is </w:t>
      </w:r>
      <w:r w:rsidR="008C71BB">
        <w:rPr>
          <w:rFonts w:eastAsia="MS Mincho"/>
          <w:lang w:val="en-US"/>
        </w:rPr>
        <w:t>supposed to operate at 20 Gpbs [5]</w:t>
      </w:r>
      <w:r w:rsidR="00D13E62">
        <w:rPr>
          <w:rFonts w:eastAsia="MS Mincho"/>
          <w:lang w:val="en-US"/>
        </w:rPr>
        <w:t>)</w:t>
      </w:r>
      <w:r w:rsidR="008C71BB">
        <w:rPr>
          <w:rFonts w:eastAsia="MS Mincho"/>
          <w:lang w:val="en-US"/>
        </w:rPr>
        <w:t>.</w:t>
      </w:r>
      <w:r>
        <w:rPr>
          <w:rFonts w:eastAsia="MS Mincho"/>
          <w:lang w:val="en-US"/>
        </w:rPr>
        <w:t xml:space="preserve"> </w:t>
      </w:r>
    </w:p>
    <w:p w14:paraId="104D86DA" w14:textId="0554AE57" w:rsidR="008C71BB" w:rsidRPr="008C71BB" w:rsidRDefault="008C71BB" w:rsidP="00226014">
      <w:pPr>
        <w:rPr>
          <w:rFonts w:eastAsia="MS Mincho"/>
          <w:b/>
          <w:lang w:val="en-US"/>
        </w:rPr>
      </w:pPr>
      <w:r w:rsidRPr="008C71BB">
        <w:rPr>
          <w:rFonts w:eastAsia="MS Mincho"/>
          <w:b/>
          <w:lang w:val="en-US"/>
        </w:rPr>
        <w:t>Observation 8: Explicitly configuring the frequency region of the RDR has insignificant overhead for an eMBB UE.</w:t>
      </w:r>
    </w:p>
    <w:p w14:paraId="7C8494FD" w14:textId="77777777" w:rsidR="008C71BB" w:rsidRDefault="008C71BB" w:rsidP="00226014">
      <w:pPr>
        <w:rPr>
          <w:rFonts w:eastAsia="MS Mincho"/>
          <w:lang w:val="en-US"/>
        </w:rPr>
      </w:pPr>
    </w:p>
    <w:p w14:paraId="11AB5F5B" w14:textId="45EBBA82" w:rsidR="008C71BB" w:rsidRPr="00360572" w:rsidRDefault="008C71BB" w:rsidP="008C71BB">
      <w:pPr>
        <w:pStyle w:val="Heading2"/>
        <w:numPr>
          <w:ilvl w:val="1"/>
          <w:numId w:val="9"/>
        </w:numPr>
        <w:rPr>
          <w:rFonts w:eastAsia="MS Mincho"/>
          <w:sz w:val="28"/>
          <w:lang w:val="en-US"/>
        </w:rPr>
      </w:pPr>
      <w:r w:rsidRPr="00360572">
        <w:rPr>
          <w:rFonts w:eastAsia="MS Mincho"/>
          <w:sz w:val="28"/>
          <w:lang w:val="en-US"/>
        </w:rPr>
        <w:lastRenderedPageBreak/>
        <w:t xml:space="preserve">Myth </w:t>
      </w:r>
      <w:r>
        <w:rPr>
          <w:rFonts w:eastAsia="MS Mincho"/>
          <w:sz w:val="28"/>
          <w:lang w:val="en-US"/>
        </w:rPr>
        <w:t>3</w:t>
      </w:r>
      <w:r w:rsidRPr="00360572">
        <w:rPr>
          <w:rFonts w:eastAsia="MS Mincho"/>
          <w:sz w:val="28"/>
          <w:lang w:val="en-US"/>
        </w:rPr>
        <w:t xml:space="preserve">: </w:t>
      </w:r>
      <w:r>
        <w:rPr>
          <w:rFonts w:eastAsia="MS Mincho"/>
          <w:sz w:val="28"/>
          <w:lang w:val="en-US"/>
        </w:rPr>
        <w:t>URLLC pre-emption can only strike once in a RDR</w:t>
      </w:r>
    </w:p>
    <w:p w14:paraId="1CB0FFF9" w14:textId="07F9506B" w:rsidR="008C71BB" w:rsidRDefault="00AA75BD" w:rsidP="008C71BB">
      <w:pPr>
        <w:rPr>
          <w:lang w:val="en-US"/>
        </w:rPr>
      </w:pPr>
      <w:r>
        <w:rPr>
          <w:lang w:val="en-US"/>
        </w:rPr>
        <w:t xml:space="preserve">In </w:t>
      </w:r>
      <w:r w:rsidR="00172746">
        <w:rPr>
          <w:lang w:val="en-US"/>
        </w:rPr>
        <w:t>[7] &amp; [8], a hierarchical PI method is proposed where firstly the PI indicates a time instance (e.g. slot) and a further bitmap indicating the detailed time-freq resources within that slot where the pre-emption occurred</w:t>
      </w:r>
      <w:r w:rsidR="00D461EE">
        <w:rPr>
          <w:lang w:val="en-US"/>
        </w:rPr>
        <w:t>.</w:t>
      </w:r>
      <w:r w:rsidR="00172746">
        <w:rPr>
          <w:lang w:val="en-US"/>
        </w:rPr>
        <w:t xml:space="preserve">  This method claimed to save some DCI bits but it can only indicate a single pre-emption occurrence.  It should be noted that the RDR in the time domain is configurable and it should be apparent that the longer the time region of the RDR is, the more likely there would be more than one URLLC pre-emption within the RDR.  In [6], it is shown that for a 4 slot RDR, there is a</w:t>
      </w:r>
      <w:r w:rsidR="00D13E62">
        <w:rPr>
          <w:lang w:val="en-US"/>
        </w:rPr>
        <w:t>n</w:t>
      </w:r>
      <w:r w:rsidR="00172746">
        <w:rPr>
          <w:lang w:val="en-US"/>
        </w:rPr>
        <w:t xml:space="preserve"> 85.6% chance of having more than one </w:t>
      </w:r>
      <w:r w:rsidR="00956C12">
        <w:rPr>
          <w:lang w:val="en-US"/>
        </w:rPr>
        <w:t xml:space="preserve">instance of </w:t>
      </w:r>
      <w:r w:rsidR="00172746">
        <w:rPr>
          <w:lang w:val="en-US"/>
        </w:rPr>
        <w:t>URLLC pre-emption within that RDR.</w:t>
      </w:r>
    </w:p>
    <w:p w14:paraId="2FB62CCD" w14:textId="10A25759" w:rsidR="00956C12" w:rsidRDefault="00956C12" w:rsidP="008C71BB">
      <w:pPr>
        <w:rPr>
          <w:b/>
          <w:lang w:val="en-US"/>
        </w:rPr>
      </w:pPr>
      <w:r w:rsidRPr="00956C12">
        <w:rPr>
          <w:b/>
          <w:lang w:val="en-US"/>
        </w:rPr>
        <w:t>Observation 9: The longer the time region of the RDR, the higher the chances of multiple instances of URLLC pre-emptions.</w:t>
      </w:r>
    </w:p>
    <w:p w14:paraId="252C796A" w14:textId="77777777" w:rsidR="00956C12" w:rsidRDefault="00956C12" w:rsidP="008C71BB">
      <w:pPr>
        <w:rPr>
          <w:b/>
          <w:lang w:val="en-US"/>
        </w:rPr>
      </w:pPr>
    </w:p>
    <w:p w14:paraId="363A9DA4" w14:textId="09360921" w:rsidR="00956C12" w:rsidRDefault="00956C12" w:rsidP="008C71BB">
      <w:pPr>
        <w:rPr>
          <w:lang w:val="en-US"/>
        </w:rPr>
      </w:pPr>
      <w:r>
        <w:rPr>
          <w:lang w:val="en-US"/>
        </w:rPr>
        <w:t xml:space="preserve">It should be appreciated that although PI was motivated by URLLC, it can be used in future for other purpose.  It would have been highly desirable if such a feature </w:t>
      </w:r>
      <w:r w:rsidR="00D13E62">
        <w:rPr>
          <w:lang w:val="en-US"/>
        </w:rPr>
        <w:t xml:space="preserve">were </w:t>
      </w:r>
      <w:r>
        <w:rPr>
          <w:lang w:val="en-US"/>
        </w:rPr>
        <w:t xml:space="preserve">available in eMTC or NB-IoT where a long repetition can be pre-empted without causing significant impact to the overall transmission. Hence the design of PI should not </w:t>
      </w:r>
      <w:r w:rsidR="00D13E62">
        <w:rPr>
          <w:lang w:val="en-US"/>
        </w:rPr>
        <w:t xml:space="preserve">be </w:t>
      </w:r>
      <w:r>
        <w:rPr>
          <w:lang w:val="en-US"/>
        </w:rPr>
        <w:t>restrict</w:t>
      </w:r>
      <w:r w:rsidR="00D13E62">
        <w:rPr>
          <w:lang w:val="en-US"/>
        </w:rPr>
        <w:t>ed</w:t>
      </w:r>
      <w:r>
        <w:rPr>
          <w:lang w:val="en-US"/>
        </w:rPr>
        <w:t xml:space="preserve"> to an isolated case where there can only be one pre-emption per RDR.</w:t>
      </w:r>
    </w:p>
    <w:p w14:paraId="3182BF64" w14:textId="3AABB28D" w:rsidR="00956C12" w:rsidRPr="00956C12" w:rsidRDefault="00956C12" w:rsidP="008C71BB">
      <w:pPr>
        <w:rPr>
          <w:rFonts w:eastAsia="MS Mincho"/>
          <w:b/>
          <w:lang w:val="en-US"/>
        </w:rPr>
      </w:pPr>
      <w:r w:rsidRPr="00956C12">
        <w:rPr>
          <w:b/>
          <w:lang w:val="en-US"/>
        </w:rPr>
        <w:t xml:space="preserve">Observation 10: </w:t>
      </w:r>
      <w:r w:rsidR="00510BDB">
        <w:rPr>
          <w:b/>
          <w:lang w:val="en-US"/>
        </w:rPr>
        <w:t xml:space="preserve">In addition to indicating URLLC pre-emptions, </w:t>
      </w:r>
      <w:r w:rsidRPr="00956C12">
        <w:rPr>
          <w:b/>
          <w:lang w:val="en-US"/>
        </w:rPr>
        <w:t xml:space="preserve">PI can </w:t>
      </w:r>
      <w:r w:rsidR="00510BDB">
        <w:rPr>
          <w:b/>
          <w:lang w:val="en-US"/>
        </w:rPr>
        <w:t xml:space="preserve">also </w:t>
      </w:r>
      <w:r w:rsidRPr="00956C12">
        <w:rPr>
          <w:b/>
          <w:lang w:val="en-US"/>
        </w:rPr>
        <w:t>be used for other features in future releases.</w:t>
      </w:r>
    </w:p>
    <w:p w14:paraId="5BB84CBF" w14:textId="065CCCCF" w:rsidR="00956C12" w:rsidRDefault="00956C12" w:rsidP="00956C12">
      <w:pPr>
        <w:pStyle w:val="Heading1"/>
        <w:numPr>
          <w:ilvl w:val="0"/>
          <w:numId w:val="9"/>
        </w:numPr>
      </w:pPr>
      <w:r>
        <w:t>Remaining Issues</w:t>
      </w:r>
    </w:p>
    <w:p w14:paraId="4D58A80E" w14:textId="1D271221" w:rsidR="008C71BB" w:rsidRDefault="00956C12" w:rsidP="00956C12">
      <w:pPr>
        <w:rPr>
          <w:lang w:val="en-US"/>
        </w:rPr>
      </w:pPr>
      <w:r>
        <w:rPr>
          <w:lang w:val="en-US"/>
        </w:rPr>
        <w:t>With the 3 myths debunked in the previous section, we will consider the remaining issues in PI.</w:t>
      </w:r>
    </w:p>
    <w:p w14:paraId="334E9D34" w14:textId="5C83FC4F" w:rsidR="00956C12" w:rsidRPr="00360572" w:rsidRDefault="00956C12" w:rsidP="00956C12">
      <w:pPr>
        <w:pStyle w:val="Heading2"/>
        <w:numPr>
          <w:ilvl w:val="1"/>
          <w:numId w:val="9"/>
        </w:numPr>
        <w:rPr>
          <w:rFonts w:eastAsia="MS Mincho"/>
          <w:sz w:val="28"/>
          <w:lang w:val="en-US"/>
        </w:rPr>
      </w:pPr>
      <w:r>
        <w:rPr>
          <w:rFonts w:eastAsia="MS Mincho"/>
          <w:sz w:val="28"/>
          <w:lang w:val="en-US"/>
        </w:rPr>
        <w:t>PI method &amp; granularity</w:t>
      </w:r>
    </w:p>
    <w:p w14:paraId="5694950E" w14:textId="7908E7EA" w:rsidR="00956C12" w:rsidRDefault="00956C12" w:rsidP="00956C12">
      <w:pPr>
        <w:rPr>
          <w:lang w:val="en-US"/>
        </w:rPr>
      </w:pPr>
      <w:r>
        <w:rPr>
          <w:lang w:val="en-US"/>
        </w:rPr>
        <w:t>In order to avoid ghost pre-emption caused by Myth 1 and restrictions caused by Myth 3, a 2D frequency-time bitmap is proposed, where the granularity (frequency &amp; time) is a percentage of the RDR.   This is to cater for the fact that the payload in the DCI for PI is likely going to be fixed.</w:t>
      </w:r>
      <w:r w:rsidR="00075240">
        <w:rPr>
          <w:lang w:val="en-US"/>
        </w:rPr>
        <w:t xml:space="preserve">  For example, if the DCI payload is 28 bits and the 2D bitmap granularity is 4 (frequency units) </w:t>
      </w:r>
      <w:r w:rsidR="00075240">
        <w:rPr>
          <w:lang w:val="en-US"/>
        </w:rPr>
        <w:sym w:font="Symbol" w:char="F0B4"/>
      </w:r>
      <w:r w:rsidR="00075240">
        <w:rPr>
          <w:lang w:val="en-US"/>
        </w:rPr>
        <w:t xml:space="preserve"> 7 (time units), then each frequency unit is 25% of the RDR frequency bandwidth and 1/7 of the RDR time period.  </w:t>
      </w:r>
      <w:r w:rsidR="00075240">
        <w:rPr>
          <w:lang w:val="en-US"/>
        </w:rPr>
        <w:fldChar w:fldCharType="begin"/>
      </w:r>
      <w:r w:rsidR="00075240">
        <w:rPr>
          <w:lang w:val="en-US"/>
        </w:rPr>
        <w:instrText xml:space="preserve"> REF _Ref494718790 \h </w:instrText>
      </w:r>
      <w:r w:rsidR="00075240">
        <w:rPr>
          <w:lang w:val="en-US"/>
        </w:rPr>
      </w:r>
      <w:r w:rsidR="00075240">
        <w:rPr>
          <w:lang w:val="en-US"/>
        </w:rPr>
        <w:fldChar w:fldCharType="separate"/>
      </w:r>
      <w:r w:rsidR="00075240">
        <w:t xml:space="preserve">Figure </w:t>
      </w:r>
      <w:r w:rsidR="00075240">
        <w:rPr>
          <w:noProof/>
        </w:rPr>
        <w:t>3</w:t>
      </w:r>
      <w:r w:rsidR="00075240">
        <w:rPr>
          <w:lang w:val="en-US"/>
        </w:rPr>
        <w:fldChar w:fldCharType="end"/>
      </w:r>
      <w:r w:rsidR="00075240">
        <w:rPr>
          <w:lang w:val="en-US"/>
        </w:rPr>
        <w:t xml:space="preserve"> shows two different RDR size</w:t>
      </w:r>
      <w:r w:rsidR="00D13E62">
        <w:rPr>
          <w:lang w:val="en-US"/>
        </w:rPr>
        <w:t>s</w:t>
      </w:r>
      <w:r w:rsidR="00075240">
        <w:rPr>
          <w:lang w:val="en-US"/>
        </w:rPr>
        <w:t xml:space="preserve">, where in </w:t>
      </w:r>
      <w:r w:rsidR="00075240">
        <w:rPr>
          <w:lang w:val="en-US"/>
        </w:rPr>
        <w:fldChar w:fldCharType="begin"/>
      </w:r>
      <w:r w:rsidR="00075240">
        <w:rPr>
          <w:lang w:val="en-US"/>
        </w:rPr>
        <w:instrText xml:space="preserve"> REF _Ref494718790 \h </w:instrText>
      </w:r>
      <w:r w:rsidR="00075240">
        <w:rPr>
          <w:lang w:val="en-US"/>
        </w:rPr>
      </w:r>
      <w:r w:rsidR="00075240">
        <w:rPr>
          <w:lang w:val="en-US"/>
        </w:rPr>
        <w:fldChar w:fldCharType="separate"/>
      </w:r>
      <w:r w:rsidR="00075240">
        <w:t xml:space="preserve">Figure </w:t>
      </w:r>
      <w:r w:rsidR="00075240">
        <w:rPr>
          <w:noProof/>
        </w:rPr>
        <w:t>3</w:t>
      </w:r>
      <w:r w:rsidR="00075240">
        <w:rPr>
          <w:lang w:val="en-US"/>
        </w:rPr>
        <w:fldChar w:fldCharType="end"/>
      </w:r>
      <w:r w:rsidR="00075240">
        <w:rPr>
          <w:lang w:val="en-US"/>
        </w:rPr>
        <w:t xml:space="preserve">(a), the RDR is 4 PRBs </w:t>
      </w:r>
      <w:r w:rsidR="00075240">
        <w:rPr>
          <w:lang w:val="en-US"/>
        </w:rPr>
        <w:sym w:font="Symbol" w:char="F0B4"/>
      </w:r>
      <w:r w:rsidR="00075240">
        <w:rPr>
          <w:lang w:val="en-US"/>
        </w:rPr>
        <w:t xml:space="preserve"> 14 symbols and therefore, the 2D bitmap would have a frequency granularity </w:t>
      </w:r>
      <w:r w:rsidR="00D13E62">
        <w:rPr>
          <w:lang w:val="en-US"/>
        </w:rPr>
        <w:t xml:space="preserve">of </w:t>
      </w:r>
      <w:r w:rsidR="00075240">
        <w:rPr>
          <w:lang w:val="en-US"/>
        </w:rPr>
        <w:t xml:space="preserve">1 PRB (25% of 4 PRBs = 1 PRB) and 2 symbols (1/7 of 14 symbols = 2 symbols).  </w:t>
      </w:r>
      <w:r w:rsidR="00075240">
        <w:rPr>
          <w:lang w:val="en-US"/>
        </w:rPr>
        <w:fldChar w:fldCharType="begin"/>
      </w:r>
      <w:r w:rsidR="00075240">
        <w:rPr>
          <w:lang w:val="en-US"/>
        </w:rPr>
        <w:instrText xml:space="preserve"> REF _Ref494718790 \h </w:instrText>
      </w:r>
      <w:r w:rsidR="00075240">
        <w:rPr>
          <w:lang w:val="en-US"/>
        </w:rPr>
      </w:r>
      <w:r w:rsidR="00075240">
        <w:rPr>
          <w:lang w:val="en-US"/>
        </w:rPr>
        <w:fldChar w:fldCharType="separate"/>
      </w:r>
      <w:r w:rsidR="00075240">
        <w:t xml:space="preserve">Figure </w:t>
      </w:r>
      <w:r w:rsidR="00075240">
        <w:rPr>
          <w:noProof/>
        </w:rPr>
        <w:t>3</w:t>
      </w:r>
      <w:r w:rsidR="00075240">
        <w:rPr>
          <w:lang w:val="en-US"/>
        </w:rPr>
        <w:fldChar w:fldCharType="end"/>
      </w:r>
      <w:r w:rsidR="00075240">
        <w:rPr>
          <w:lang w:val="en-US"/>
        </w:rPr>
        <w:t xml:space="preserve">(b) shows a RDR of 8 PRBs </w:t>
      </w:r>
      <w:r w:rsidR="00075240">
        <w:rPr>
          <w:lang w:val="en-US"/>
        </w:rPr>
        <w:sym w:font="Symbol" w:char="F0B4"/>
      </w:r>
      <w:r w:rsidR="00075240">
        <w:rPr>
          <w:lang w:val="en-US"/>
        </w:rPr>
        <w:t xml:space="preserve"> 7 symbols and hence the 2D bitmap would have a frequency granularity of 2 PRBs and time granularity of 1 symbol.</w:t>
      </w:r>
    </w:p>
    <w:p w14:paraId="1DF0A84D" w14:textId="4DBB1399" w:rsidR="00075240" w:rsidRDefault="00075240" w:rsidP="00956C12">
      <w:pPr>
        <w:rPr>
          <w:rFonts w:eastAsia="MS Mincho"/>
          <w:lang w:val="en-US"/>
        </w:rPr>
      </w:pPr>
      <w:r>
        <w:rPr>
          <w:rFonts w:eastAsia="MS Mincho"/>
          <w:noProof/>
          <w:lang w:eastAsia="en-GB"/>
        </w:rPr>
        <w:lastRenderedPageBreak/>
        <w:drawing>
          <wp:inline distT="0" distB="0" distL="0" distR="0" wp14:anchorId="5E7C3514" wp14:editId="4F92CC79">
            <wp:extent cx="6346190" cy="22377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46190" cy="2237740"/>
                    </a:xfrm>
                    <a:prstGeom prst="rect">
                      <a:avLst/>
                    </a:prstGeom>
                    <a:noFill/>
                  </pic:spPr>
                </pic:pic>
              </a:graphicData>
            </a:graphic>
          </wp:inline>
        </w:drawing>
      </w:r>
    </w:p>
    <w:p w14:paraId="1CEBC607" w14:textId="4C232268" w:rsidR="00075240" w:rsidRDefault="00075240" w:rsidP="00075240">
      <w:pPr>
        <w:pStyle w:val="Caption"/>
        <w:jc w:val="center"/>
        <w:rPr>
          <w:rFonts w:eastAsia="MS Mincho"/>
          <w:lang w:val="en-US"/>
        </w:rPr>
      </w:pPr>
      <w:bookmarkStart w:id="15" w:name="_Ref494718790"/>
      <w:r>
        <w:t xml:space="preserve">Figure </w:t>
      </w:r>
      <w:r w:rsidR="005914A2">
        <w:fldChar w:fldCharType="begin"/>
      </w:r>
      <w:r w:rsidR="005914A2">
        <w:instrText xml:space="preserve"> SEQ Figure \* ARABIC </w:instrText>
      </w:r>
      <w:r w:rsidR="005914A2">
        <w:fldChar w:fldCharType="separate"/>
      </w:r>
      <w:r>
        <w:rPr>
          <w:noProof/>
        </w:rPr>
        <w:t>3</w:t>
      </w:r>
      <w:r w:rsidR="005914A2">
        <w:rPr>
          <w:noProof/>
        </w:rPr>
        <w:fldChar w:fldCharType="end"/>
      </w:r>
      <w:bookmarkEnd w:id="15"/>
      <w:r>
        <w:t xml:space="preserve">: Scaling the 2D granularity </w:t>
      </w:r>
      <w:r w:rsidR="008E3E4F">
        <w:t>4</w:t>
      </w:r>
      <w:r w:rsidR="008E3E4F" w:rsidRPr="00075240">
        <w:rPr>
          <w:lang w:val="en-US"/>
        </w:rPr>
        <w:sym w:font="Symbol" w:char="F0B4"/>
      </w:r>
      <w:r w:rsidR="008E3E4F">
        <w:rPr>
          <w:lang w:val="en-US"/>
        </w:rPr>
        <w:t xml:space="preserve">7 </w:t>
      </w:r>
      <w:r>
        <w:t xml:space="preserve">bitmap to </w:t>
      </w:r>
      <w:r w:rsidR="008E3E4F">
        <w:t xml:space="preserve">different </w:t>
      </w:r>
      <w:r>
        <w:t>RDR size</w:t>
      </w:r>
      <w:r w:rsidR="008E3E4F">
        <w:t>s</w:t>
      </w:r>
    </w:p>
    <w:p w14:paraId="5D55C3D5" w14:textId="2417BFC6" w:rsidR="00956C12" w:rsidRPr="00075240" w:rsidRDefault="00075240" w:rsidP="00226014">
      <w:pPr>
        <w:rPr>
          <w:b/>
          <w:lang w:val="en-US"/>
        </w:rPr>
      </w:pPr>
      <w:r w:rsidRPr="00075240">
        <w:rPr>
          <w:rFonts w:eastAsia="MS Mincho"/>
          <w:b/>
          <w:lang w:val="en-US"/>
        </w:rPr>
        <w:t xml:space="preserve">Proposal 2: The PI uses a 2D bitmap of </w:t>
      </w:r>
      <w:r w:rsidRPr="00075240">
        <w:rPr>
          <w:rFonts w:eastAsia="MS Mincho"/>
          <w:b/>
          <w:i/>
          <w:lang w:val="en-US"/>
        </w:rPr>
        <w:t>M</w:t>
      </w:r>
      <w:r w:rsidRPr="00075240">
        <w:rPr>
          <w:rFonts w:eastAsia="MS Mincho"/>
          <w:b/>
          <w:lang w:val="en-US"/>
        </w:rPr>
        <w:t xml:space="preserve"> frequency units </w:t>
      </w:r>
      <w:r w:rsidRPr="00075240">
        <w:rPr>
          <w:b/>
          <w:lang w:val="en-US"/>
        </w:rPr>
        <w:sym w:font="Symbol" w:char="F0B4"/>
      </w:r>
      <w:r w:rsidRPr="00075240">
        <w:rPr>
          <w:b/>
          <w:lang w:val="en-US"/>
        </w:rPr>
        <w:t xml:space="preserve"> </w:t>
      </w:r>
      <w:r w:rsidRPr="00075240">
        <w:rPr>
          <w:b/>
          <w:i/>
          <w:lang w:val="en-US"/>
        </w:rPr>
        <w:t>N</w:t>
      </w:r>
      <w:r w:rsidRPr="00075240">
        <w:rPr>
          <w:b/>
          <w:lang w:val="en-US"/>
        </w:rPr>
        <w:t xml:space="preserve"> time units to indicate URLLC pre-emptions within a RDR.</w:t>
      </w:r>
    </w:p>
    <w:p w14:paraId="3E24C87A" w14:textId="750AB442" w:rsidR="00075240" w:rsidRPr="00075240" w:rsidRDefault="00075240" w:rsidP="00057F12">
      <w:pPr>
        <w:pStyle w:val="ListParagraph"/>
        <w:numPr>
          <w:ilvl w:val="0"/>
          <w:numId w:val="11"/>
        </w:numPr>
        <w:rPr>
          <w:b/>
          <w:lang w:val="en-US"/>
        </w:rPr>
      </w:pPr>
      <w:r w:rsidRPr="00075240">
        <w:rPr>
          <w:b/>
          <w:lang w:val="en-US"/>
        </w:rPr>
        <w:t>The frequency unit of this 2D bitmap is a percentage of the RDR frequency bandwidth</w:t>
      </w:r>
    </w:p>
    <w:p w14:paraId="643C36AF" w14:textId="36B23C44" w:rsidR="00075240" w:rsidRPr="00075240" w:rsidRDefault="00075240" w:rsidP="00057F12">
      <w:pPr>
        <w:pStyle w:val="ListParagraph"/>
        <w:numPr>
          <w:ilvl w:val="0"/>
          <w:numId w:val="11"/>
        </w:numPr>
        <w:rPr>
          <w:b/>
          <w:lang w:val="en-US"/>
        </w:rPr>
      </w:pPr>
      <w:r w:rsidRPr="00075240">
        <w:rPr>
          <w:b/>
          <w:lang w:val="en-US"/>
        </w:rPr>
        <w:t>The time unit of this 2D bitmap is a percentage of the RDR time period</w:t>
      </w:r>
    </w:p>
    <w:p w14:paraId="6EBED2F1" w14:textId="77777777" w:rsidR="00075240" w:rsidRDefault="00075240" w:rsidP="00226014">
      <w:pPr>
        <w:rPr>
          <w:lang w:val="en-US"/>
        </w:rPr>
      </w:pPr>
    </w:p>
    <w:p w14:paraId="29AF6A61" w14:textId="2B818B80" w:rsidR="00075240" w:rsidRDefault="00075240" w:rsidP="00226014">
      <w:pPr>
        <w:rPr>
          <w:lang w:val="en-US"/>
        </w:rPr>
      </w:pPr>
      <w:r>
        <w:rPr>
          <w:lang w:val="en-US"/>
        </w:rPr>
        <w:t xml:space="preserve">Although the DCI payload size </w:t>
      </w:r>
      <w:r w:rsidR="004D2890" w:rsidRPr="004D2890">
        <w:rPr>
          <w:i/>
          <w:lang w:val="en-US"/>
        </w:rPr>
        <w:t>K</w:t>
      </w:r>
      <w:r w:rsidR="004D2890">
        <w:rPr>
          <w:lang w:val="en-US"/>
        </w:rPr>
        <w:t xml:space="preserve">, </w:t>
      </w:r>
      <w:r>
        <w:rPr>
          <w:lang w:val="en-US"/>
        </w:rPr>
        <w:t xml:space="preserve">for PI is fixed </w:t>
      </w:r>
      <w:r w:rsidR="004D2890">
        <w:rPr>
          <w:lang w:val="en-US"/>
        </w:rPr>
        <w:t xml:space="preserve">such that </w:t>
      </w:r>
      <w:r w:rsidR="004D2890" w:rsidRPr="004D2890">
        <w:rPr>
          <w:i/>
          <w:lang w:val="en-US"/>
        </w:rPr>
        <w:t>K</w:t>
      </w:r>
      <w:r w:rsidR="004D2890">
        <w:rPr>
          <w:lang w:val="en-US"/>
        </w:rPr>
        <w:t xml:space="preserve"> = </w:t>
      </w:r>
      <w:r w:rsidR="004D2890" w:rsidRPr="004D2890">
        <w:rPr>
          <w:i/>
          <w:lang w:val="en-US"/>
        </w:rPr>
        <w:t>M</w:t>
      </w:r>
      <w:r w:rsidR="004D2890">
        <w:rPr>
          <w:lang w:val="en-US"/>
        </w:rPr>
        <w:sym w:font="Symbol" w:char="F0B4"/>
      </w:r>
      <w:r w:rsidR="004D2890" w:rsidRPr="004D2890">
        <w:rPr>
          <w:i/>
          <w:lang w:val="en-US"/>
        </w:rPr>
        <w:t>N</w:t>
      </w:r>
      <w:r w:rsidR="004D2890">
        <w:rPr>
          <w:lang w:val="en-US"/>
        </w:rPr>
        <w:t xml:space="preserve">, there can be multiple combinations of </w:t>
      </w:r>
      <w:r w:rsidR="004D2890" w:rsidRPr="004D2890">
        <w:rPr>
          <w:i/>
          <w:lang w:val="en-US"/>
        </w:rPr>
        <w:t>M</w:t>
      </w:r>
      <w:r w:rsidR="004D2890">
        <w:rPr>
          <w:lang w:val="en-US"/>
        </w:rPr>
        <w:t xml:space="preserve"> and </w:t>
      </w:r>
      <w:r w:rsidR="004D2890" w:rsidRPr="004D2890">
        <w:rPr>
          <w:i/>
          <w:lang w:val="en-US"/>
        </w:rPr>
        <w:t>N</w:t>
      </w:r>
      <w:r w:rsidR="004D2890">
        <w:rPr>
          <w:lang w:val="en-US"/>
        </w:rPr>
        <w:t xml:space="preserve"> values. For example if </w:t>
      </w:r>
      <w:r w:rsidR="004D2890" w:rsidRPr="004D2890">
        <w:rPr>
          <w:i/>
          <w:lang w:val="en-US"/>
        </w:rPr>
        <w:t>K</w:t>
      </w:r>
      <w:r w:rsidR="004D2890">
        <w:rPr>
          <w:lang w:val="en-US"/>
        </w:rPr>
        <w:t xml:space="preserve"> = 28 bits, the set of possible </w:t>
      </w:r>
      <w:r w:rsidR="004D2890" w:rsidRPr="004D2890">
        <w:rPr>
          <w:i/>
          <w:lang w:val="en-US"/>
        </w:rPr>
        <w:t>M</w:t>
      </w:r>
      <w:r w:rsidR="004D2890">
        <w:rPr>
          <w:lang w:val="en-US"/>
        </w:rPr>
        <w:t xml:space="preserve"> and </w:t>
      </w:r>
      <w:r w:rsidR="004D2890" w:rsidRPr="004D2890">
        <w:rPr>
          <w:i/>
          <w:lang w:val="en-US"/>
        </w:rPr>
        <w:t>N</w:t>
      </w:r>
      <w:r w:rsidR="004D2890">
        <w:rPr>
          <w:lang w:val="en-US"/>
        </w:rPr>
        <w:t xml:space="preserve"> values are {(1,28), (2,14), (4,7), (7,4), (14,2), (28,1)}, where each (</w:t>
      </w:r>
      <w:r w:rsidR="004D2890" w:rsidRPr="004D2890">
        <w:rPr>
          <w:i/>
          <w:lang w:val="en-US"/>
        </w:rPr>
        <w:t>M</w:t>
      </w:r>
      <w:r w:rsidR="004D2890">
        <w:rPr>
          <w:lang w:val="en-US"/>
        </w:rPr>
        <w:t xml:space="preserve">, </w:t>
      </w:r>
      <w:r w:rsidR="004D2890" w:rsidRPr="004D2890">
        <w:rPr>
          <w:i/>
          <w:lang w:val="en-US"/>
        </w:rPr>
        <w:t>N</w:t>
      </w:r>
      <w:r w:rsidR="004D2890">
        <w:rPr>
          <w:lang w:val="en-US"/>
        </w:rPr>
        <w:t>) combination represents different frequency and time granularities, i.e. each frequency and time unit would have different percentage</w:t>
      </w:r>
      <w:r w:rsidR="006A0179">
        <w:rPr>
          <w:lang w:val="en-US"/>
        </w:rPr>
        <w:t>s</w:t>
      </w:r>
      <w:r w:rsidR="004D2890">
        <w:rPr>
          <w:lang w:val="en-US"/>
        </w:rPr>
        <w:t xml:space="preserve"> of the RDR size.  This is beneficial since it gives flexibility at the gNB to manage the granularity of the PI.  In [6], it is proposed that the combination of (</w:t>
      </w:r>
      <w:r w:rsidR="004D2890" w:rsidRPr="004D2890">
        <w:rPr>
          <w:i/>
          <w:lang w:val="en-US"/>
        </w:rPr>
        <w:t>M</w:t>
      </w:r>
      <w:r w:rsidR="004D2890">
        <w:rPr>
          <w:lang w:val="en-US"/>
        </w:rPr>
        <w:t xml:space="preserve">, </w:t>
      </w:r>
      <w:r w:rsidR="004D2890" w:rsidRPr="004D2890">
        <w:rPr>
          <w:i/>
          <w:lang w:val="en-US"/>
        </w:rPr>
        <w:t>N</w:t>
      </w:r>
      <w:r w:rsidR="004D2890">
        <w:rPr>
          <w:lang w:val="en-US"/>
        </w:rPr>
        <w:t>) is configured by RRC from a fixed set of (</w:t>
      </w:r>
      <w:r w:rsidR="004D2890" w:rsidRPr="004D2890">
        <w:rPr>
          <w:i/>
          <w:lang w:val="en-US"/>
        </w:rPr>
        <w:t>M</w:t>
      </w:r>
      <w:r w:rsidR="004D2890">
        <w:rPr>
          <w:lang w:val="en-US"/>
        </w:rPr>
        <w:t xml:space="preserve">, </w:t>
      </w:r>
      <w:r w:rsidR="004D2890" w:rsidRPr="004D2890">
        <w:rPr>
          <w:i/>
          <w:lang w:val="en-US"/>
        </w:rPr>
        <w:t>N</w:t>
      </w:r>
      <w:r w:rsidR="004D2890">
        <w:rPr>
          <w:lang w:val="en-US"/>
        </w:rPr>
        <w:t>) values whilst in [10], it is proposed that the index to the fixed set of (</w:t>
      </w:r>
      <w:r w:rsidR="004D2890" w:rsidRPr="004D2890">
        <w:rPr>
          <w:i/>
          <w:lang w:val="en-US"/>
        </w:rPr>
        <w:t>M</w:t>
      </w:r>
      <w:r w:rsidR="004D2890">
        <w:rPr>
          <w:lang w:val="en-US"/>
        </w:rPr>
        <w:t xml:space="preserve">, </w:t>
      </w:r>
      <w:r w:rsidR="004D2890" w:rsidRPr="004D2890">
        <w:rPr>
          <w:i/>
          <w:lang w:val="en-US"/>
        </w:rPr>
        <w:t>N</w:t>
      </w:r>
      <w:r w:rsidR="004D2890">
        <w:rPr>
          <w:lang w:val="en-US"/>
        </w:rPr>
        <w:t xml:space="preserve">) </w:t>
      </w:r>
      <w:r w:rsidR="006E36E6">
        <w:rPr>
          <w:lang w:val="en-US"/>
        </w:rPr>
        <w:t xml:space="preserve">combinations </w:t>
      </w:r>
      <w:r w:rsidR="004D2890">
        <w:rPr>
          <w:lang w:val="en-US"/>
        </w:rPr>
        <w:t xml:space="preserve">is indicated dynamically in the GC-DCI carrying the PI.  We have no strong preference </w:t>
      </w:r>
      <w:r w:rsidR="006E36E6">
        <w:rPr>
          <w:lang w:val="en-US"/>
        </w:rPr>
        <w:t xml:space="preserve">on how the combination of (M, N) are configured </w:t>
      </w:r>
      <w:r w:rsidR="004D2890">
        <w:rPr>
          <w:lang w:val="en-US"/>
        </w:rPr>
        <w:t>but we believe that it should be possible to configure different set of (</w:t>
      </w:r>
      <w:r w:rsidR="004D2890" w:rsidRPr="004D2890">
        <w:rPr>
          <w:i/>
          <w:lang w:val="en-US"/>
        </w:rPr>
        <w:t>M</w:t>
      </w:r>
      <w:r w:rsidR="004D2890">
        <w:rPr>
          <w:lang w:val="en-US"/>
        </w:rPr>
        <w:t xml:space="preserve">, </w:t>
      </w:r>
      <w:r w:rsidR="004D2890" w:rsidRPr="004D2890">
        <w:rPr>
          <w:i/>
          <w:lang w:val="en-US"/>
        </w:rPr>
        <w:t>N</w:t>
      </w:r>
      <w:r w:rsidR="004D2890">
        <w:rPr>
          <w:lang w:val="en-US"/>
        </w:rPr>
        <w:t>).</w:t>
      </w:r>
    </w:p>
    <w:p w14:paraId="2A0C38CE" w14:textId="59843C5E" w:rsidR="00075240" w:rsidRDefault="00075240" w:rsidP="00226014">
      <w:pPr>
        <w:rPr>
          <w:b/>
          <w:lang w:val="en-US"/>
        </w:rPr>
      </w:pPr>
      <w:r w:rsidRPr="006E36E6">
        <w:rPr>
          <w:b/>
          <w:lang w:val="en-US"/>
        </w:rPr>
        <w:t xml:space="preserve">Proposal 3: </w:t>
      </w:r>
      <w:r w:rsidR="004D2890" w:rsidRPr="006E36E6">
        <w:rPr>
          <w:b/>
          <w:lang w:val="en-US"/>
        </w:rPr>
        <w:t xml:space="preserve">The set of possible </w:t>
      </w:r>
      <w:r w:rsidR="004D2890" w:rsidRPr="006E36E6">
        <w:rPr>
          <w:b/>
          <w:i/>
          <w:lang w:val="en-US"/>
        </w:rPr>
        <w:t>M</w:t>
      </w:r>
      <w:r w:rsidR="004D2890" w:rsidRPr="006E36E6">
        <w:rPr>
          <w:b/>
          <w:lang w:val="en-US"/>
        </w:rPr>
        <w:t xml:space="preserve"> frequency units and </w:t>
      </w:r>
      <w:r w:rsidR="004D2890" w:rsidRPr="006E36E6">
        <w:rPr>
          <w:b/>
          <w:i/>
          <w:lang w:val="en-US"/>
        </w:rPr>
        <w:t>N</w:t>
      </w:r>
      <w:r w:rsidR="004D2890" w:rsidRPr="006E36E6">
        <w:rPr>
          <w:b/>
          <w:lang w:val="en-US"/>
        </w:rPr>
        <w:t xml:space="preserve"> time units in the 2D bitmap is configurable from a set of (</w:t>
      </w:r>
      <w:r w:rsidR="004D2890" w:rsidRPr="006E36E6">
        <w:rPr>
          <w:b/>
          <w:i/>
          <w:lang w:val="en-US"/>
        </w:rPr>
        <w:t>M</w:t>
      </w:r>
      <w:r w:rsidR="004D2890" w:rsidRPr="006E36E6">
        <w:rPr>
          <w:b/>
          <w:lang w:val="en-US"/>
        </w:rPr>
        <w:t xml:space="preserve">, </w:t>
      </w:r>
      <w:r w:rsidR="004D2890" w:rsidRPr="006E36E6">
        <w:rPr>
          <w:b/>
          <w:i/>
          <w:lang w:val="en-US"/>
        </w:rPr>
        <w:t>N</w:t>
      </w:r>
      <w:r w:rsidR="004D2890" w:rsidRPr="006E36E6">
        <w:rPr>
          <w:b/>
          <w:lang w:val="en-US"/>
        </w:rPr>
        <w:t>) values.</w:t>
      </w:r>
    </w:p>
    <w:p w14:paraId="48F1A704" w14:textId="2D82F9E4" w:rsidR="006E36E6" w:rsidRPr="00360572" w:rsidRDefault="006E36E6" w:rsidP="006E36E6">
      <w:pPr>
        <w:pStyle w:val="Heading2"/>
        <w:numPr>
          <w:ilvl w:val="1"/>
          <w:numId w:val="9"/>
        </w:numPr>
        <w:rPr>
          <w:rFonts w:eastAsia="MS Mincho"/>
          <w:sz w:val="28"/>
          <w:lang w:val="en-US"/>
        </w:rPr>
      </w:pPr>
      <w:r>
        <w:rPr>
          <w:rFonts w:eastAsia="MS Mincho"/>
          <w:sz w:val="28"/>
          <w:lang w:val="en-US"/>
        </w:rPr>
        <w:t>Reference Downlink Region (RDR)</w:t>
      </w:r>
    </w:p>
    <w:p w14:paraId="6A395F3F" w14:textId="65B6044B" w:rsidR="006E36E6" w:rsidRDefault="00E838F0" w:rsidP="006E36E6">
      <w:pPr>
        <w:rPr>
          <w:lang w:val="en-US"/>
        </w:rPr>
      </w:pPr>
      <w:r>
        <w:rPr>
          <w:lang w:val="en-US"/>
        </w:rPr>
        <w:t>For the time domain configuration of the RDR, we propose that the working assumption that it is implicitly configured such that its length is equal to that of the GC-DCI period carrying the PI is confirmed.</w:t>
      </w:r>
    </w:p>
    <w:p w14:paraId="59EEB3D5" w14:textId="794A381A" w:rsidR="00E838F0" w:rsidRPr="00E838F0" w:rsidRDefault="00E838F0" w:rsidP="006E36E6">
      <w:pPr>
        <w:rPr>
          <w:b/>
          <w:lang w:val="en-US"/>
        </w:rPr>
      </w:pPr>
      <w:r w:rsidRPr="00E838F0">
        <w:rPr>
          <w:b/>
          <w:lang w:val="en-US"/>
        </w:rPr>
        <w:t>Proposal 4: Confirm the following working assumption:</w:t>
      </w:r>
    </w:p>
    <w:p w14:paraId="06EE2691" w14:textId="2D431C60" w:rsidR="00E838F0" w:rsidRPr="00E838F0" w:rsidRDefault="00E838F0" w:rsidP="00057F12">
      <w:pPr>
        <w:pStyle w:val="ListParagraph"/>
        <w:numPr>
          <w:ilvl w:val="0"/>
          <w:numId w:val="12"/>
        </w:numPr>
        <w:rPr>
          <w:b/>
          <w:lang w:val="en-US"/>
        </w:rPr>
      </w:pPr>
      <w:r w:rsidRPr="00E838F0">
        <w:rPr>
          <w:b/>
          <w:lang w:val="en-US"/>
        </w:rPr>
        <w:t>The time duration of the reference downlink resource for preemption indication equals to the monitoring periodicity of the group-common DCI carrying the preemption indication</w:t>
      </w:r>
    </w:p>
    <w:p w14:paraId="5761F915" w14:textId="77777777" w:rsidR="00285C2B" w:rsidRDefault="00285C2B" w:rsidP="00226014">
      <w:pPr>
        <w:rPr>
          <w:rFonts w:eastAsia="MS Mincho"/>
          <w:lang w:val="en-US"/>
        </w:rPr>
      </w:pPr>
    </w:p>
    <w:p w14:paraId="3607EDCC" w14:textId="6522FABD" w:rsidR="006E36E6" w:rsidRDefault="002B4252" w:rsidP="00226014">
      <w:pPr>
        <w:rPr>
          <w:rFonts w:eastAsia="MS Mincho"/>
          <w:lang w:val="en-US"/>
        </w:rPr>
      </w:pPr>
      <w:r>
        <w:rPr>
          <w:rFonts w:eastAsia="MS Mincho"/>
          <w:lang w:val="en-US"/>
        </w:rPr>
        <w:t xml:space="preserve">The periodicity of the GC-DCI would </w:t>
      </w:r>
      <w:r w:rsidR="008C7C1C">
        <w:rPr>
          <w:rFonts w:eastAsia="MS Mincho"/>
          <w:lang w:val="en-US"/>
        </w:rPr>
        <w:t>impact the number of blind decodes required of the eMBB UE and hence a minimum periodicity for the GC-DCI should be imposed.  In [11] it is proposed that the minimum periodicity is a mini-slot whilst in [6] it is proposed that it should be a slot.  For a compromise we would like to suggest a minimum periodicity of 7 symbols.</w:t>
      </w:r>
    </w:p>
    <w:p w14:paraId="6C5DCA33" w14:textId="7DF7D226" w:rsidR="008C7C1C" w:rsidRPr="008C7C1C" w:rsidRDefault="008C7C1C" w:rsidP="00226014">
      <w:pPr>
        <w:rPr>
          <w:rFonts w:eastAsia="MS Mincho"/>
          <w:b/>
          <w:lang w:val="en-US"/>
        </w:rPr>
      </w:pPr>
      <w:r w:rsidRPr="008C7C1C">
        <w:rPr>
          <w:rFonts w:eastAsia="MS Mincho"/>
          <w:b/>
          <w:lang w:val="en-US"/>
        </w:rPr>
        <w:lastRenderedPageBreak/>
        <w:t xml:space="preserve">Proposal 5: The minimum periodicity of the GC-DCI carrying the PI (and hence the </w:t>
      </w:r>
      <w:r w:rsidR="000D2D19">
        <w:rPr>
          <w:rFonts w:eastAsia="MS Mincho"/>
          <w:b/>
          <w:lang w:val="en-US"/>
        </w:rPr>
        <w:t xml:space="preserve">minimum </w:t>
      </w:r>
      <w:r w:rsidRPr="008C7C1C">
        <w:rPr>
          <w:rFonts w:eastAsia="MS Mincho"/>
          <w:b/>
          <w:lang w:val="en-US"/>
        </w:rPr>
        <w:t>size of the RDR time length) is 7 symbols</w:t>
      </w:r>
      <w:bookmarkStart w:id="16" w:name="_GoBack"/>
      <w:bookmarkEnd w:id="16"/>
      <w:r w:rsidRPr="008C7C1C">
        <w:rPr>
          <w:rFonts w:eastAsia="MS Mincho"/>
          <w:b/>
          <w:lang w:val="en-US"/>
        </w:rPr>
        <w:t>.</w:t>
      </w:r>
    </w:p>
    <w:p w14:paraId="09FA1A60" w14:textId="77777777" w:rsidR="008C7C1C" w:rsidRDefault="008C7C1C" w:rsidP="00226014">
      <w:pPr>
        <w:rPr>
          <w:rFonts w:eastAsia="MS Mincho"/>
          <w:lang w:val="en-US"/>
        </w:rPr>
      </w:pPr>
    </w:p>
    <w:p w14:paraId="26F14BFC" w14:textId="12CF8B63" w:rsidR="00E838F0" w:rsidRDefault="002B4252" w:rsidP="00226014">
      <w:pPr>
        <w:rPr>
          <w:rFonts w:eastAsia="MS Mincho"/>
          <w:lang w:val="en-US"/>
        </w:rPr>
      </w:pPr>
      <w:r>
        <w:rPr>
          <w:rFonts w:eastAsia="MS Mincho"/>
          <w:lang w:val="en-US"/>
        </w:rPr>
        <w:t xml:space="preserve">As described in </w:t>
      </w:r>
      <w:r w:rsidR="006A0179">
        <w:rPr>
          <w:rFonts w:eastAsia="MS Mincho"/>
          <w:lang w:val="en-US"/>
        </w:rPr>
        <w:t xml:space="preserve">the </w:t>
      </w:r>
      <w:r>
        <w:rPr>
          <w:rFonts w:eastAsia="MS Mincho"/>
          <w:lang w:val="en-US"/>
        </w:rPr>
        <w:t xml:space="preserve">previous section, </w:t>
      </w:r>
      <w:r w:rsidR="008C7C1C">
        <w:rPr>
          <w:rFonts w:eastAsia="MS Mincho"/>
          <w:lang w:val="en-US"/>
        </w:rPr>
        <w:t xml:space="preserve">designing RDR based on Myth 2, i.e. </w:t>
      </w:r>
      <w:r>
        <w:rPr>
          <w:rFonts w:eastAsia="MS Mincho"/>
          <w:lang w:val="en-US"/>
        </w:rPr>
        <w:t>forcing the frequency domain of the RDR to be equal to that of individual UE’s BWP would lead</w:t>
      </w:r>
      <w:r w:rsidR="00DA0290">
        <w:rPr>
          <w:rFonts w:eastAsia="MS Mincho"/>
          <w:lang w:val="en-US"/>
        </w:rPr>
        <w:t>s</w:t>
      </w:r>
      <w:r>
        <w:rPr>
          <w:rFonts w:eastAsia="MS Mincho"/>
          <w:lang w:val="en-US"/>
        </w:rPr>
        <w:t xml:space="preserve"> to undesirable ghost pre-emptions.  Hence</w:t>
      </w:r>
      <w:r w:rsidR="008C7C1C">
        <w:rPr>
          <w:rFonts w:eastAsia="MS Mincho"/>
          <w:lang w:val="en-US"/>
        </w:rPr>
        <w:t>, to avoid the issues due to Myth 2, a straight forward and simple way is to explicitly configure the frequency region of the RDR.</w:t>
      </w:r>
    </w:p>
    <w:p w14:paraId="047DBFB8" w14:textId="3C8A23EE" w:rsidR="008C7C1C" w:rsidRPr="008C7C1C" w:rsidRDefault="008C7C1C" w:rsidP="00226014">
      <w:pPr>
        <w:rPr>
          <w:rFonts w:eastAsia="MS Mincho"/>
          <w:b/>
          <w:lang w:val="en-US"/>
        </w:rPr>
      </w:pPr>
      <w:r w:rsidRPr="008C7C1C">
        <w:rPr>
          <w:rFonts w:eastAsia="MS Mincho"/>
          <w:b/>
          <w:lang w:val="en-US"/>
        </w:rPr>
        <w:t>Proposal 6: The frequency region of the RDR is explicitly configured by RRC.</w:t>
      </w:r>
    </w:p>
    <w:p w14:paraId="27D14AFD" w14:textId="77777777" w:rsidR="00E838F0" w:rsidRPr="006E36E6" w:rsidRDefault="00E838F0" w:rsidP="00226014">
      <w:pPr>
        <w:rPr>
          <w:rFonts w:eastAsia="MS Mincho"/>
          <w:lang w:val="en-US"/>
        </w:rPr>
      </w:pPr>
    </w:p>
    <w:p w14:paraId="7659EBED" w14:textId="77777777" w:rsidR="00226014" w:rsidRDefault="00226014" w:rsidP="00226014">
      <w:pPr>
        <w:pStyle w:val="Heading1"/>
        <w:numPr>
          <w:ilvl w:val="0"/>
          <w:numId w:val="9"/>
        </w:numPr>
      </w:pPr>
      <w:r>
        <w:t xml:space="preserve">  Conclusion</w:t>
      </w:r>
    </w:p>
    <w:p w14:paraId="72BCCA45" w14:textId="7230EBFF" w:rsidR="00226014" w:rsidRPr="004E6386" w:rsidRDefault="00226014" w:rsidP="00226014">
      <w:pPr>
        <w:jc w:val="both"/>
        <w:rPr>
          <w:lang w:val="en-US"/>
        </w:rPr>
      </w:pPr>
      <w:r w:rsidRPr="004E6386">
        <w:rPr>
          <w:lang w:val="en-US"/>
        </w:rPr>
        <w:t xml:space="preserve">In this contribution we </w:t>
      </w:r>
      <w:r w:rsidR="000D2D19">
        <w:rPr>
          <w:lang w:val="en-US"/>
        </w:rPr>
        <w:t xml:space="preserve">highlighted 3 myths surrounding PI and debunked them with the </w:t>
      </w:r>
      <w:r w:rsidRPr="004E6386">
        <w:rPr>
          <w:lang w:val="en-US"/>
        </w:rPr>
        <w:t>following</w:t>
      </w:r>
      <w:r w:rsidR="000D2D19">
        <w:rPr>
          <w:lang w:val="en-US"/>
        </w:rPr>
        <w:t xml:space="preserve"> observations</w:t>
      </w:r>
      <w:r w:rsidRPr="004E6386">
        <w:rPr>
          <w:lang w:val="en-US"/>
        </w:rPr>
        <w:t>:</w:t>
      </w:r>
    </w:p>
    <w:p w14:paraId="4169B631" w14:textId="77777777" w:rsidR="0070729E" w:rsidRPr="008C71BB" w:rsidRDefault="0070729E" w:rsidP="0070729E">
      <w:pPr>
        <w:rPr>
          <w:b/>
          <w:lang w:val="en-US"/>
        </w:rPr>
      </w:pPr>
      <w:r w:rsidRPr="008C71BB">
        <w:rPr>
          <w:b/>
          <w:lang w:val="en-US"/>
        </w:rPr>
        <w:t xml:space="preserve">Observation 1: If URLLC occupies the entire frequency resource regardless of the bandwidth, then URLLC operation would have </w:t>
      </w:r>
      <w:r>
        <w:rPr>
          <w:b/>
          <w:lang w:val="en-US"/>
        </w:rPr>
        <w:t xml:space="preserve">a </w:t>
      </w:r>
      <w:r w:rsidRPr="008C71BB">
        <w:rPr>
          <w:b/>
          <w:lang w:val="en-US"/>
        </w:rPr>
        <w:t>very serious capacity impact to the system.</w:t>
      </w:r>
    </w:p>
    <w:p w14:paraId="5A440896" w14:textId="2E2113FB" w:rsidR="0070729E" w:rsidRPr="00307264" w:rsidRDefault="0070729E" w:rsidP="0070729E">
      <w:pPr>
        <w:rPr>
          <w:b/>
          <w:lang w:val="en-US"/>
        </w:rPr>
      </w:pPr>
      <w:r w:rsidRPr="00307264">
        <w:rPr>
          <w:b/>
          <w:lang w:val="en-US"/>
        </w:rPr>
        <w:t xml:space="preserve">Observation </w:t>
      </w:r>
      <w:r>
        <w:rPr>
          <w:b/>
          <w:lang w:val="en-US"/>
        </w:rPr>
        <w:t>2</w:t>
      </w:r>
      <w:r w:rsidRPr="00307264">
        <w:rPr>
          <w:b/>
          <w:lang w:val="en-US"/>
        </w:rPr>
        <w:t xml:space="preserve">: URLLC pre-emption occupies around </w:t>
      </w:r>
      <w:r>
        <w:rPr>
          <w:b/>
          <w:lang w:val="en-US"/>
        </w:rPr>
        <w:t>4</w:t>
      </w:r>
      <w:r w:rsidRPr="00307264">
        <w:rPr>
          <w:b/>
          <w:lang w:val="en-US"/>
        </w:rPr>
        <w:t xml:space="preserve"> </w:t>
      </w:r>
      <w:r w:rsidRPr="00307264">
        <w:rPr>
          <w:b/>
          <w:lang w:val="en-US"/>
        </w:rPr>
        <w:t xml:space="preserve">MHz in the frequency domain which is just </w:t>
      </w:r>
      <w:r>
        <w:rPr>
          <w:b/>
          <w:lang w:val="en-US"/>
        </w:rPr>
        <w:t>4</w:t>
      </w:r>
      <w:r w:rsidRPr="00307264">
        <w:rPr>
          <w:b/>
          <w:lang w:val="en-US"/>
        </w:rPr>
        <w:t xml:space="preserve">% of a 100 MHz </w:t>
      </w:r>
      <w:r>
        <w:rPr>
          <w:b/>
          <w:lang w:val="en-US"/>
        </w:rPr>
        <w:t>bandwidth</w:t>
      </w:r>
      <w:r w:rsidRPr="00307264">
        <w:rPr>
          <w:b/>
          <w:lang w:val="en-US"/>
        </w:rPr>
        <w:t>.</w:t>
      </w:r>
    </w:p>
    <w:p w14:paraId="3C974452" w14:textId="77777777" w:rsidR="0070729E" w:rsidRDefault="0070729E" w:rsidP="0070729E">
      <w:pPr>
        <w:rPr>
          <w:b/>
          <w:lang w:val="en-US"/>
        </w:rPr>
      </w:pPr>
      <w:r w:rsidRPr="00445147">
        <w:rPr>
          <w:b/>
          <w:lang w:val="en-US"/>
        </w:rPr>
        <w:t xml:space="preserve">Observation </w:t>
      </w:r>
      <w:r>
        <w:rPr>
          <w:b/>
          <w:lang w:val="en-US"/>
        </w:rPr>
        <w:t>3</w:t>
      </w:r>
      <w:r w:rsidRPr="00445147">
        <w:rPr>
          <w:b/>
          <w:lang w:val="en-US"/>
        </w:rPr>
        <w:t xml:space="preserve">: Exaggerating that a URLLC pre-emption affects </w:t>
      </w:r>
      <w:r>
        <w:rPr>
          <w:b/>
          <w:lang w:val="en-US"/>
        </w:rPr>
        <w:t xml:space="preserve">the </w:t>
      </w:r>
      <w:r w:rsidRPr="00445147">
        <w:rPr>
          <w:b/>
          <w:lang w:val="en-US"/>
        </w:rPr>
        <w:t>entire symbol(s) in the PI would lead to ghost pre-emption (uncorrupted resources wrongly accused of being corrupted)</w:t>
      </w:r>
    </w:p>
    <w:p w14:paraId="1224D7C8" w14:textId="77777777" w:rsidR="0070729E" w:rsidRPr="00445147" w:rsidRDefault="0070729E" w:rsidP="0070729E">
      <w:pPr>
        <w:rPr>
          <w:b/>
          <w:lang w:val="en-US"/>
        </w:rPr>
      </w:pPr>
      <w:r>
        <w:rPr>
          <w:b/>
          <w:lang w:val="en-US"/>
        </w:rPr>
        <w:t>Observation 4: Ghost pre-emption is highly undesirable because it can</w:t>
      </w:r>
      <w:r w:rsidRPr="00445147">
        <w:rPr>
          <w:b/>
          <w:lang w:val="en-US"/>
        </w:rPr>
        <w:t xml:space="preserve"> lead to </w:t>
      </w:r>
      <w:r>
        <w:rPr>
          <w:b/>
          <w:lang w:val="en-US"/>
        </w:rPr>
        <w:t xml:space="preserve">an unnecessary </w:t>
      </w:r>
      <w:r w:rsidRPr="00445147">
        <w:rPr>
          <w:b/>
          <w:lang w:val="en-US"/>
        </w:rPr>
        <w:t>failed eMBB decoding.</w:t>
      </w:r>
    </w:p>
    <w:p w14:paraId="2A9F8B11" w14:textId="77777777" w:rsidR="0070729E" w:rsidRPr="00383560" w:rsidRDefault="0070729E" w:rsidP="0070729E">
      <w:pPr>
        <w:rPr>
          <w:b/>
          <w:lang w:val="en-US"/>
        </w:rPr>
      </w:pPr>
      <w:r w:rsidRPr="00383560">
        <w:rPr>
          <w:b/>
          <w:lang w:val="en-US"/>
        </w:rPr>
        <w:t xml:space="preserve">Observation </w:t>
      </w:r>
      <w:r>
        <w:rPr>
          <w:b/>
          <w:lang w:val="en-US"/>
        </w:rPr>
        <w:t>5</w:t>
      </w:r>
      <w:r w:rsidRPr="00383560">
        <w:rPr>
          <w:b/>
          <w:lang w:val="en-US"/>
        </w:rPr>
        <w:t>: Since GC-DCI addresses a group of UEs, these UEs need to have a common reference of the resources in the RDR.</w:t>
      </w:r>
    </w:p>
    <w:p w14:paraId="2D0BCEE1" w14:textId="77777777" w:rsidR="0070729E" w:rsidRPr="00383560" w:rsidRDefault="0070729E" w:rsidP="0070729E">
      <w:pPr>
        <w:rPr>
          <w:rFonts w:eastAsia="MS Mincho"/>
          <w:b/>
          <w:lang w:val="en-US"/>
        </w:rPr>
      </w:pPr>
      <w:r w:rsidRPr="00383560">
        <w:rPr>
          <w:b/>
          <w:lang w:val="en-US"/>
        </w:rPr>
        <w:t xml:space="preserve">Observation </w:t>
      </w:r>
      <w:r>
        <w:rPr>
          <w:b/>
          <w:lang w:val="en-US"/>
        </w:rPr>
        <w:t>6</w:t>
      </w:r>
      <w:r w:rsidRPr="00383560">
        <w:rPr>
          <w:b/>
          <w:lang w:val="en-US"/>
        </w:rPr>
        <w:t>: RDR is group specific whilst BWP is UE specific and hence forcing RDR to be the same as BWP would lead to ambiguity in the referenced resource</w:t>
      </w:r>
      <w:r>
        <w:rPr>
          <w:b/>
          <w:lang w:val="en-US"/>
        </w:rPr>
        <w:t xml:space="preserve"> region addressed by the GC-DCI.  This will lead to ghost pre-emption.</w:t>
      </w:r>
    </w:p>
    <w:p w14:paraId="296D6747" w14:textId="77777777" w:rsidR="0070729E" w:rsidRPr="00C335F2" w:rsidRDefault="0070729E" w:rsidP="0070729E">
      <w:pPr>
        <w:rPr>
          <w:rFonts w:eastAsia="MS Mincho"/>
          <w:b/>
          <w:lang w:val="en-US"/>
        </w:rPr>
      </w:pPr>
      <w:r w:rsidRPr="00C335F2">
        <w:rPr>
          <w:rFonts w:eastAsia="MS Mincho"/>
          <w:b/>
          <w:lang w:val="en-US"/>
        </w:rPr>
        <w:t xml:space="preserve">Observation </w:t>
      </w:r>
      <w:r>
        <w:rPr>
          <w:rFonts w:eastAsia="MS Mincho"/>
          <w:b/>
          <w:lang w:val="en-US"/>
        </w:rPr>
        <w:t>7</w:t>
      </w:r>
      <w:r w:rsidRPr="00C335F2">
        <w:rPr>
          <w:rFonts w:eastAsia="MS Mincho"/>
          <w:b/>
          <w:lang w:val="en-US"/>
        </w:rPr>
        <w:t>: The frequency domain of a BWP can be very large and forcing the RDR to adopt the same frequency bandwidth would lead to coarse frequency PI granularity</w:t>
      </w:r>
      <w:r>
        <w:rPr>
          <w:rFonts w:eastAsia="MS Mincho"/>
          <w:b/>
          <w:lang w:val="en-US"/>
        </w:rPr>
        <w:t xml:space="preserve"> without any scope of reducing it.</w:t>
      </w:r>
    </w:p>
    <w:p w14:paraId="13D90447" w14:textId="77777777" w:rsidR="0070729E" w:rsidRPr="008C71BB" w:rsidRDefault="0070729E" w:rsidP="0070729E">
      <w:pPr>
        <w:rPr>
          <w:rFonts w:eastAsia="MS Mincho"/>
          <w:b/>
          <w:lang w:val="en-US"/>
        </w:rPr>
      </w:pPr>
      <w:r w:rsidRPr="008C71BB">
        <w:rPr>
          <w:rFonts w:eastAsia="MS Mincho"/>
          <w:b/>
          <w:lang w:val="en-US"/>
        </w:rPr>
        <w:t>Observation 8: Explicitly configuring the frequency region of the RDR has insignificant overhead for an eMBB UE.</w:t>
      </w:r>
    </w:p>
    <w:p w14:paraId="336C40E3" w14:textId="77777777" w:rsidR="0070729E" w:rsidRDefault="0070729E" w:rsidP="0070729E">
      <w:pPr>
        <w:rPr>
          <w:b/>
          <w:lang w:val="en-US"/>
        </w:rPr>
      </w:pPr>
      <w:r w:rsidRPr="00956C12">
        <w:rPr>
          <w:b/>
          <w:lang w:val="en-US"/>
        </w:rPr>
        <w:t>Observation 9: The longer the time region of the RDR, the higher the chances of multiple instances of URLLC pre-emptions.</w:t>
      </w:r>
    </w:p>
    <w:p w14:paraId="7743B6B1" w14:textId="77777777" w:rsidR="0070729E" w:rsidRPr="00956C12" w:rsidRDefault="0070729E" w:rsidP="0070729E">
      <w:pPr>
        <w:rPr>
          <w:rFonts w:eastAsia="MS Mincho"/>
          <w:b/>
          <w:lang w:val="en-US"/>
        </w:rPr>
      </w:pPr>
      <w:r w:rsidRPr="00956C12">
        <w:rPr>
          <w:b/>
          <w:lang w:val="en-US"/>
        </w:rPr>
        <w:t xml:space="preserve">Observation 10: </w:t>
      </w:r>
      <w:r>
        <w:rPr>
          <w:b/>
          <w:lang w:val="en-US"/>
        </w:rPr>
        <w:t xml:space="preserve">In addition to indicating URLLC pre-emptions, </w:t>
      </w:r>
      <w:r w:rsidRPr="00956C12">
        <w:rPr>
          <w:b/>
          <w:lang w:val="en-US"/>
        </w:rPr>
        <w:t xml:space="preserve">PI can </w:t>
      </w:r>
      <w:r>
        <w:rPr>
          <w:b/>
          <w:lang w:val="en-US"/>
        </w:rPr>
        <w:t xml:space="preserve">also </w:t>
      </w:r>
      <w:r w:rsidRPr="00956C12">
        <w:rPr>
          <w:b/>
          <w:lang w:val="en-US"/>
        </w:rPr>
        <w:t>be used for other features in future releases.</w:t>
      </w:r>
    </w:p>
    <w:p w14:paraId="2C4255E6" w14:textId="60128448" w:rsidR="00510BDB" w:rsidRPr="00956C12" w:rsidRDefault="00510BDB" w:rsidP="00510BDB">
      <w:pPr>
        <w:rPr>
          <w:rFonts w:eastAsia="MS Mincho"/>
          <w:b/>
          <w:lang w:val="en-US"/>
        </w:rPr>
      </w:pPr>
    </w:p>
    <w:p w14:paraId="05E93175" w14:textId="48693943" w:rsidR="00226014" w:rsidRPr="004E6386" w:rsidRDefault="00226014" w:rsidP="00226014">
      <w:pPr>
        <w:jc w:val="both"/>
        <w:rPr>
          <w:lang w:val="en-US"/>
        </w:rPr>
      </w:pPr>
      <w:r w:rsidRPr="004E6386">
        <w:rPr>
          <w:lang w:val="en-US"/>
        </w:rPr>
        <w:t>We therefore propose the following</w:t>
      </w:r>
      <w:r w:rsidR="000D2D19">
        <w:rPr>
          <w:lang w:val="en-US"/>
        </w:rPr>
        <w:t xml:space="preserve"> on the remaining issues in PI</w:t>
      </w:r>
      <w:r w:rsidRPr="004E6386">
        <w:rPr>
          <w:lang w:val="en-US"/>
        </w:rPr>
        <w:t>:</w:t>
      </w:r>
    </w:p>
    <w:p w14:paraId="2F30BA3F" w14:textId="77777777" w:rsidR="0070729E" w:rsidRPr="00445147" w:rsidRDefault="0070729E" w:rsidP="0070729E">
      <w:pPr>
        <w:rPr>
          <w:rFonts w:eastAsia="MS Mincho"/>
          <w:b/>
          <w:lang w:val="en-US"/>
        </w:rPr>
      </w:pPr>
      <w:r w:rsidRPr="00445147">
        <w:rPr>
          <w:rFonts w:eastAsia="MS Mincho"/>
          <w:b/>
          <w:lang w:val="en-US"/>
        </w:rPr>
        <w:t>Proposal 1: The PI design should minimize the presence of ghost pre-emption.</w:t>
      </w:r>
    </w:p>
    <w:p w14:paraId="6BB8C5EF" w14:textId="77777777" w:rsidR="0070729E" w:rsidRPr="00075240" w:rsidRDefault="0070729E" w:rsidP="0070729E">
      <w:pPr>
        <w:rPr>
          <w:b/>
          <w:lang w:val="en-US"/>
        </w:rPr>
      </w:pPr>
      <w:r w:rsidRPr="00075240">
        <w:rPr>
          <w:rFonts w:eastAsia="MS Mincho"/>
          <w:b/>
          <w:lang w:val="en-US"/>
        </w:rPr>
        <w:lastRenderedPageBreak/>
        <w:t xml:space="preserve">Proposal 2: The PI uses a 2D bitmap of </w:t>
      </w:r>
      <w:r w:rsidRPr="00075240">
        <w:rPr>
          <w:rFonts w:eastAsia="MS Mincho"/>
          <w:b/>
          <w:i/>
          <w:lang w:val="en-US"/>
        </w:rPr>
        <w:t>M</w:t>
      </w:r>
      <w:r w:rsidRPr="00075240">
        <w:rPr>
          <w:rFonts w:eastAsia="MS Mincho"/>
          <w:b/>
          <w:lang w:val="en-US"/>
        </w:rPr>
        <w:t xml:space="preserve"> frequency units </w:t>
      </w:r>
      <w:r w:rsidRPr="00075240">
        <w:rPr>
          <w:b/>
          <w:lang w:val="en-US"/>
        </w:rPr>
        <w:sym w:font="Symbol" w:char="F0B4"/>
      </w:r>
      <w:r w:rsidRPr="00075240">
        <w:rPr>
          <w:b/>
          <w:lang w:val="en-US"/>
        </w:rPr>
        <w:t xml:space="preserve"> </w:t>
      </w:r>
      <w:r w:rsidRPr="00075240">
        <w:rPr>
          <w:b/>
          <w:i/>
          <w:lang w:val="en-US"/>
        </w:rPr>
        <w:t>N</w:t>
      </w:r>
      <w:r w:rsidRPr="00075240">
        <w:rPr>
          <w:b/>
          <w:lang w:val="en-US"/>
        </w:rPr>
        <w:t xml:space="preserve"> time units to indicate URLLC pre-emptions within a RDR.</w:t>
      </w:r>
    </w:p>
    <w:p w14:paraId="2A8E4FF8" w14:textId="77777777" w:rsidR="0070729E" w:rsidRPr="00075240" w:rsidRDefault="0070729E" w:rsidP="0070729E">
      <w:pPr>
        <w:pStyle w:val="ListParagraph"/>
        <w:numPr>
          <w:ilvl w:val="0"/>
          <w:numId w:val="11"/>
        </w:numPr>
        <w:rPr>
          <w:b/>
          <w:lang w:val="en-US"/>
        </w:rPr>
      </w:pPr>
      <w:r w:rsidRPr="00075240">
        <w:rPr>
          <w:b/>
          <w:lang w:val="en-US"/>
        </w:rPr>
        <w:t>The frequency unit of this 2D bitmap is a percentage of the RDR frequency bandwidth</w:t>
      </w:r>
    </w:p>
    <w:p w14:paraId="309EB789" w14:textId="77777777" w:rsidR="0070729E" w:rsidRPr="00075240" w:rsidRDefault="0070729E" w:rsidP="0070729E">
      <w:pPr>
        <w:pStyle w:val="ListParagraph"/>
        <w:numPr>
          <w:ilvl w:val="0"/>
          <w:numId w:val="11"/>
        </w:numPr>
        <w:rPr>
          <w:b/>
          <w:lang w:val="en-US"/>
        </w:rPr>
      </w:pPr>
      <w:r w:rsidRPr="00075240">
        <w:rPr>
          <w:b/>
          <w:lang w:val="en-US"/>
        </w:rPr>
        <w:t>The time unit of this 2D bitmap is a percentage of the RDR time period</w:t>
      </w:r>
    </w:p>
    <w:p w14:paraId="5D9107E4" w14:textId="77777777" w:rsidR="0070729E" w:rsidRPr="0070729E" w:rsidRDefault="0070729E" w:rsidP="0070729E">
      <w:pPr>
        <w:rPr>
          <w:b/>
          <w:lang w:val="en-US"/>
        </w:rPr>
      </w:pPr>
      <w:r w:rsidRPr="0070729E">
        <w:rPr>
          <w:b/>
          <w:lang w:val="en-US"/>
        </w:rPr>
        <w:t xml:space="preserve">Proposal 3: The set of possible </w:t>
      </w:r>
      <w:r w:rsidRPr="0070729E">
        <w:rPr>
          <w:b/>
          <w:i/>
          <w:lang w:val="en-US"/>
        </w:rPr>
        <w:t>M</w:t>
      </w:r>
      <w:r w:rsidRPr="0070729E">
        <w:rPr>
          <w:b/>
          <w:lang w:val="en-US"/>
        </w:rPr>
        <w:t xml:space="preserve"> frequency units and </w:t>
      </w:r>
      <w:r w:rsidRPr="0070729E">
        <w:rPr>
          <w:b/>
          <w:i/>
          <w:lang w:val="en-US"/>
        </w:rPr>
        <w:t>N</w:t>
      </w:r>
      <w:r w:rsidRPr="0070729E">
        <w:rPr>
          <w:b/>
          <w:lang w:val="en-US"/>
        </w:rPr>
        <w:t xml:space="preserve"> time units in the 2D bitmap is configurable from a set of (</w:t>
      </w:r>
      <w:r w:rsidRPr="0070729E">
        <w:rPr>
          <w:b/>
          <w:i/>
          <w:lang w:val="en-US"/>
        </w:rPr>
        <w:t>M</w:t>
      </w:r>
      <w:r w:rsidRPr="0070729E">
        <w:rPr>
          <w:b/>
          <w:lang w:val="en-US"/>
        </w:rPr>
        <w:t xml:space="preserve">, </w:t>
      </w:r>
      <w:r w:rsidRPr="0070729E">
        <w:rPr>
          <w:b/>
          <w:i/>
          <w:lang w:val="en-US"/>
        </w:rPr>
        <w:t>N</w:t>
      </w:r>
      <w:r w:rsidRPr="0070729E">
        <w:rPr>
          <w:b/>
          <w:lang w:val="en-US"/>
        </w:rPr>
        <w:t>) values.</w:t>
      </w:r>
    </w:p>
    <w:p w14:paraId="3DA75AB0" w14:textId="77777777" w:rsidR="0070729E" w:rsidRPr="00E838F0" w:rsidRDefault="0070729E" w:rsidP="0070729E">
      <w:pPr>
        <w:rPr>
          <w:b/>
          <w:lang w:val="en-US"/>
        </w:rPr>
      </w:pPr>
      <w:r w:rsidRPr="00E838F0">
        <w:rPr>
          <w:b/>
          <w:lang w:val="en-US"/>
        </w:rPr>
        <w:t>Proposal 4: Confirm the following working assumption:</w:t>
      </w:r>
    </w:p>
    <w:p w14:paraId="584ED572" w14:textId="77777777" w:rsidR="0070729E" w:rsidRPr="00E838F0" w:rsidRDefault="0070729E" w:rsidP="0070729E">
      <w:pPr>
        <w:pStyle w:val="ListParagraph"/>
        <w:numPr>
          <w:ilvl w:val="0"/>
          <w:numId w:val="12"/>
        </w:numPr>
        <w:rPr>
          <w:b/>
          <w:lang w:val="en-US"/>
        </w:rPr>
      </w:pPr>
      <w:r w:rsidRPr="00E838F0">
        <w:rPr>
          <w:b/>
          <w:lang w:val="en-US"/>
        </w:rPr>
        <w:t>The time duration of the reference downlink resource for preemption indication equals to the monitoring periodicity of the group-common DCI carrying the preemption indication</w:t>
      </w:r>
    </w:p>
    <w:p w14:paraId="26B9FCF2" w14:textId="77777777" w:rsidR="0070729E" w:rsidRPr="0070729E" w:rsidRDefault="0070729E" w:rsidP="0070729E">
      <w:pPr>
        <w:rPr>
          <w:rFonts w:eastAsia="MS Mincho"/>
          <w:b/>
          <w:lang w:val="en-US"/>
        </w:rPr>
      </w:pPr>
      <w:r w:rsidRPr="0070729E">
        <w:rPr>
          <w:rFonts w:eastAsia="MS Mincho"/>
          <w:b/>
          <w:lang w:val="en-US"/>
        </w:rPr>
        <w:t>Proposal 5: The minimum periodicity of the GC-DCI carrying the PI (and hence the minimum size of the RDR time length) is 7 symbols.</w:t>
      </w:r>
    </w:p>
    <w:p w14:paraId="06E97A00" w14:textId="77777777" w:rsidR="0070729E" w:rsidRPr="008C7C1C" w:rsidRDefault="0070729E" w:rsidP="0070729E">
      <w:pPr>
        <w:rPr>
          <w:rFonts w:eastAsia="MS Mincho"/>
          <w:b/>
          <w:lang w:val="en-US"/>
        </w:rPr>
      </w:pPr>
      <w:r w:rsidRPr="008C7C1C">
        <w:rPr>
          <w:rFonts w:eastAsia="MS Mincho"/>
          <w:b/>
          <w:lang w:val="en-US"/>
        </w:rPr>
        <w:t>Proposal 6: The frequency region of the RDR is explicitly configured by RRC.</w:t>
      </w:r>
    </w:p>
    <w:p w14:paraId="4578AAEA" w14:textId="77777777" w:rsidR="00510BDB" w:rsidRPr="004E6386" w:rsidRDefault="00510BDB" w:rsidP="00EC6997">
      <w:pPr>
        <w:rPr>
          <w:rFonts w:eastAsia="MS Mincho"/>
          <w:b/>
          <w:lang w:val="en-US"/>
        </w:rPr>
      </w:pPr>
    </w:p>
    <w:p w14:paraId="531D7ED8" w14:textId="77777777" w:rsidR="00226014" w:rsidRDefault="00226014" w:rsidP="00226014">
      <w:pPr>
        <w:pStyle w:val="Heading1"/>
        <w:numPr>
          <w:ilvl w:val="0"/>
          <w:numId w:val="9"/>
        </w:numPr>
      </w:pPr>
      <w:r>
        <w:t>References</w:t>
      </w:r>
    </w:p>
    <w:p w14:paraId="27071D2D" w14:textId="77777777" w:rsidR="00C54787" w:rsidRDefault="00AD385C" w:rsidP="00C54787">
      <w:pPr>
        <w:rPr>
          <w:lang w:val="en-US"/>
        </w:rPr>
      </w:pPr>
      <w:r>
        <w:rPr>
          <w:lang w:val="en-US"/>
        </w:rPr>
        <w:t xml:space="preserve">[1] </w:t>
      </w:r>
      <w:r w:rsidR="00C54787" w:rsidRPr="00C54787">
        <w:rPr>
          <w:lang w:val="en-US"/>
        </w:rPr>
        <w:t>R1-1715691</w:t>
      </w:r>
      <w:r w:rsidR="00C54787">
        <w:rPr>
          <w:lang w:val="en-US"/>
        </w:rPr>
        <w:t>, “</w:t>
      </w:r>
      <w:r w:rsidR="00C54787" w:rsidRPr="00C54787">
        <w:rPr>
          <w:lang w:val="en-US"/>
        </w:rPr>
        <w:t>Multiplexing between slot-based and symbol-based transmiss</w:t>
      </w:r>
      <w:r w:rsidR="00C54787">
        <w:rPr>
          <w:lang w:val="en-US"/>
        </w:rPr>
        <w:t xml:space="preserve">ions and pre-emption indication,” </w:t>
      </w:r>
      <w:r w:rsidR="00C54787" w:rsidRPr="00C54787">
        <w:rPr>
          <w:lang w:val="en-US"/>
        </w:rPr>
        <w:t>Guangdong OPPO Mobile Telecom</w:t>
      </w:r>
      <w:r w:rsidR="00C54787">
        <w:rPr>
          <w:lang w:val="en-US"/>
        </w:rPr>
        <w:t>, RAN1 NR Ad-Hoc#3</w:t>
      </w:r>
    </w:p>
    <w:p w14:paraId="39C8527E" w14:textId="0D80CA86" w:rsidR="00230053" w:rsidRDefault="00C54787" w:rsidP="00C54787">
      <w:pPr>
        <w:rPr>
          <w:lang w:val="en-US"/>
        </w:rPr>
      </w:pPr>
      <w:r>
        <w:rPr>
          <w:lang w:val="en-US"/>
        </w:rPr>
        <w:t>[2] R1-1716599, “</w:t>
      </w:r>
      <w:r w:rsidRPr="00C54787">
        <w:rPr>
          <w:lang w:val="en-US"/>
        </w:rPr>
        <w:t>On Multiplexing Data with D</w:t>
      </w:r>
      <w:r>
        <w:rPr>
          <w:lang w:val="en-US"/>
        </w:rPr>
        <w:t xml:space="preserve">ifferent Transmission Durations,” </w:t>
      </w:r>
      <w:r w:rsidRPr="00C54787">
        <w:rPr>
          <w:lang w:val="en-US"/>
        </w:rPr>
        <w:t>Ericsson</w:t>
      </w:r>
      <w:r>
        <w:rPr>
          <w:lang w:val="en-US"/>
        </w:rPr>
        <w:t>, RAN1 NR Ad-Hoc#3</w:t>
      </w:r>
    </w:p>
    <w:p w14:paraId="2323108A" w14:textId="117FCE19" w:rsidR="00BC44B2" w:rsidRDefault="00BC44B2" w:rsidP="00C54787">
      <w:pPr>
        <w:rPr>
          <w:lang w:val="en-US"/>
        </w:rPr>
      </w:pPr>
      <w:r>
        <w:rPr>
          <w:lang w:val="en-US"/>
        </w:rPr>
        <w:t>[3] R1-1716325, “</w:t>
      </w:r>
      <w:r w:rsidRPr="00BC44B2">
        <w:rPr>
          <w:lang w:val="en-US"/>
        </w:rPr>
        <w:t>Multiplexing of d</w:t>
      </w:r>
      <w:r>
        <w:rPr>
          <w:lang w:val="en-US"/>
        </w:rPr>
        <w:t xml:space="preserve">ifferent data channel durations,” </w:t>
      </w:r>
      <w:r w:rsidRPr="00BC44B2">
        <w:rPr>
          <w:lang w:val="en-US"/>
        </w:rPr>
        <w:t>Intel Corporation</w:t>
      </w:r>
      <w:r>
        <w:rPr>
          <w:lang w:val="en-US"/>
        </w:rPr>
        <w:t>, RAN1 NR Ad-Hoc#3</w:t>
      </w:r>
    </w:p>
    <w:p w14:paraId="6F124EB3" w14:textId="5B67AE67" w:rsidR="00BC44B2" w:rsidRDefault="00BC44B2" w:rsidP="00C54787">
      <w:pPr>
        <w:rPr>
          <w:lang w:val="en-US"/>
        </w:rPr>
      </w:pPr>
      <w:r>
        <w:rPr>
          <w:lang w:val="en-US"/>
        </w:rPr>
        <w:t xml:space="preserve">[4] </w:t>
      </w:r>
      <w:r w:rsidRPr="00BC44B2">
        <w:rPr>
          <w:lang w:val="en-US"/>
        </w:rPr>
        <w:t>R1-1715829</w:t>
      </w:r>
      <w:r>
        <w:rPr>
          <w:lang w:val="en-US"/>
        </w:rPr>
        <w:t>, “</w:t>
      </w:r>
      <w:r w:rsidRPr="00BC44B2">
        <w:rPr>
          <w:lang w:val="en-US"/>
        </w:rPr>
        <w:t>On multiplexing of data with different transmission durations</w:t>
      </w:r>
      <w:r>
        <w:rPr>
          <w:lang w:val="en-US"/>
        </w:rPr>
        <w:t xml:space="preserve">,” </w:t>
      </w:r>
      <w:r w:rsidRPr="00BC44B2">
        <w:rPr>
          <w:lang w:val="en-US"/>
        </w:rPr>
        <w:t>CATT</w:t>
      </w:r>
      <w:r>
        <w:rPr>
          <w:lang w:val="en-US"/>
        </w:rPr>
        <w:t>, RAN1 NR Ad-Hoc#3</w:t>
      </w:r>
    </w:p>
    <w:p w14:paraId="3EFCAFC6" w14:textId="2B78F393" w:rsidR="004473FC" w:rsidRDefault="004473FC" w:rsidP="004473FC">
      <w:pPr>
        <w:rPr>
          <w:lang w:val="en-US"/>
        </w:rPr>
      </w:pPr>
      <w:r>
        <w:rPr>
          <w:lang w:val="en-US"/>
        </w:rPr>
        <w:t>[5] 3GPP TS38.913, “</w:t>
      </w:r>
      <w:r w:rsidRPr="004473FC">
        <w:rPr>
          <w:lang w:val="en-US"/>
        </w:rPr>
        <w:t>Study on Scenarios and Requirements for Next Generation Access Technologies</w:t>
      </w:r>
      <w:r>
        <w:rPr>
          <w:lang w:val="en-US"/>
        </w:rPr>
        <w:t>,” v14.3.0</w:t>
      </w:r>
    </w:p>
    <w:p w14:paraId="322606A1" w14:textId="42F412EE" w:rsidR="00307264" w:rsidRDefault="00307264" w:rsidP="004473FC">
      <w:pPr>
        <w:rPr>
          <w:lang w:val="en-US"/>
        </w:rPr>
      </w:pPr>
      <w:r>
        <w:rPr>
          <w:lang w:val="en-US"/>
        </w:rPr>
        <w:t xml:space="preserve">[6] </w:t>
      </w:r>
      <w:r w:rsidRPr="00307264">
        <w:rPr>
          <w:lang w:val="en-US"/>
        </w:rPr>
        <w:t>R1-1715409</w:t>
      </w:r>
      <w:r>
        <w:rPr>
          <w:lang w:val="en-US"/>
        </w:rPr>
        <w:t>, “</w:t>
      </w:r>
      <w:r w:rsidRPr="00307264">
        <w:rPr>
          <w:lang w:val="en-US"/>
        </w:rPr>
        <w:t>On pre-emption indication for DL multiplexing of URLLC and eMBB</w:t>
      </w:r>
      <w:r>
        <w:rPr>
          <w:lang w:val="en-US"/>
        </w:rPr>
        <w:t xml:space="preserve">,” </w:t>
      </w:r>
      <w:r w:rsidRPr="00307264">
        <w:rPr>
          <w:lang w:val="en-US"/>
        </w:rPr>
        <w:t>Huawei, HiSilicon</w:t>
      </w:r>
      <w:r>
        <w:rPr>
          <w:lang w:val="en-US"/>
        </w:rPr>
        <w:t>, RAN1 NR Ad-Hoc#3</w:t>
      </w:r>
    </w:p>
    <w:p w14:paraId="6649947A" w14:textId="59D411AC" w:rsidR="00041443" w:rsidRDefault="00041443" w:rsidP="004473FC">
      <w:pPr>
        <w:rPr>
          <w:lang w:val="en-US"/>
        </w:rPr>
      </w:pPr>
      <w:r>
        <w:rPr>
          <w:lang w:val="en-US"/>
        </w:rPr>
        <w:t>[7] R1-1716009, “</w:t>
      </w:r>
      <w:r w:rsidRPr="00041443">
        <w:rPr>
          <w:lang w:val="en-US"/>
        </w:rPr>
        <w:t>Indicati</w:t>
      </w:r>
      <w:r>
        <w:rPr>
          <w:lang w:val="en-US"/>
        </w:rPr>
        <w:t xml:space="preserve">on of Preempted Resources in DL,” </w:t>
      </w:r>
      <w:r w:rsidRPr="00041443">
        <w:rPr>
          <w:lang w:val="en-US"/>
        </w:rPr>
        <w:t>Samsung</w:t>
      </w:r>
      <w:r>
        <w:rPr>
          <w:lang w:val="en-US"/>
        </w:rPr>
        <w:t>, RAN1 NR Ad-Hoc#3</w:t>
      </w:r>
    </w:p>
    <w:p w14:paraId="58052E75" w14:textId="2A9DD744" w:rsidR="00041443" w:rsidRDefault="00041443" w:rsidP="004473FC">
      <w:pPr>
        <w:rPr>
          <w:lang w:val="en-US"/>
        </w:rPr>
      </w:pPr>
      <w:r>
        <w:rPr>
          <w:lang w:val="en-US"/>
        </w:rPr>
        <w:t>[8] R1-1715890, “</w:t>
      </w:r>
      <w:r w:rsidRPr="00041443">
        <w:rPr>
          <w:lang w:val="en-US"/>
        </w:rPr>
        <w:t>Remaining issues on pre-emption indication for downlink</w:t>
      </w:r>
      <w:r w:rsidRPr="00041443">
        <w:rPr>
          <w:lang w:val="en-US"/>
        </w:rPr>
        <w:tab/>
        <w:t>LG Electronics</w:t>
      </w:r>
      <w:r>
        <w:rPr>
          <w:lang w:val="en-US"/>
        </w:rPr>
        <w:t>,” RAN1 NR Ad-Hoc#3</w:t>
      </w:r>
    </w:p>
    <w:p w14:paraId="2AA50044" w14:textId="0C6F8CAA" w:rsidR="00956C12" w:rsidRDefault="00956C12" w:rsidP="004473FC">
      <w:pPr>
        <w:rPr>
          <w:lang w:val="en-US"/>
        </w:rPr>
      </w:pPr>
      <w:r>
        <w:rPr>
          <w:lang w:val="en-US"/>
        </w:rPr>
        <w:t>[9] R1-1716251, “</w:t>
      </w:r>
      <w:r w:rsidRPr="00956C12">
        <w:rPr>
          <w:lang w:val="en-US"/>
        </w:rPr>
        <w:t>Remaining issues on pre-emption indi</w:t>
      </w:r>
      <w:r>
        <w:rPr>
          <w:lang w:val="en-US"/>
        </w:rPr>
        <w:t xml:space="preserve">cator,” </w:t>
      </w:r>
      <w:r w:rsidRPr="00956C12">
        <w:rPr>
          <w:lang w:val="en-US"/>
        </w:rPr>
        <w:t>Sony</w:t>
      </w:r>
      <w:r>
        <w:rPr>
          <w:lang w:val="en-US"/>
        </w:rPr>
        <w:t>, RAN1 NR Ad-Hoc#3</w:t>
      </w:r>
    </w:p>
    <w:p w14:paraId="6536EA8F" w14:textId="18AD6AFD" w:rsidR="004D2890" w:rsidRDefault="004D2890" w:rsidP="004473FC">
      <w:pPr>
        <w:rPr>
          <w:lang w:val="en-US"/>
        </w:rPr>
      </w:pPr>
      <w:r>
        <w:rPr>
          <w:lang w:val="en-US"/>
        </w:rPr>
        <w:t xml:space="preserve">[10] R1-1715561, “About DL pre-emption indication,” </w:t>
      </w:r>
      <w:r w:rsidRPr="004D2890">
        <w:rPr>
          <w:lang w:val="en-US"/>
        </w:rPr>
        <w:t>ZTE, Sanechips</w:t>
      </w:r>
      <w:r>
        <w:rPr>
          <w:lang w:val="en-US"/>
        </w:rPr>
        <w:t>, RAN1 NR Ad-Hoc#3</w:t>
      </w:r>
    </w:p>
    <w:p w14:paraId="474CFB69" w14:textId="20FDF6F5" w:rsidR="008C7C1C" w:rsidRPr="00734D40" w:rsidRDefault="008C7C1C" w:rsidP="004473FC">
      <w:pPr>
        <w:rPr>
          <w:lang w:val="en-US"/>
        </w:rPr>
      </w:pPr>
      <w:r>
        <w:rPr>
          <w:lang w:val="en-US"/>
        </w:rPr>
        <w:t>[11] R1-1716434, “</w:t>
      </w:r>
      <w:r w:rsidRPr="008C7C1C">
        <w:rPr>
          <w:lang w:val="en-US"/>
        </w:rPr>
        <w:t>URLLC DL pre-emption and UL suspe</w:t>
      </w:r>
      <w:r>
        <w:rPr>
          <w:lang w:val="en-US"/>
        </w:rPr>
        <w:t xml:space="preserve">nsion indication channel design,” </w:t>
      </w:r>
      <w:r w:rsidRPr="008C7C1C">
        <w:rPr>
          <w:lang w:val="en-US"/>
        </w:rPr>
        <w:t>Qualcomm Incorporated</w:t>
      </w:r>
      <w:r>
        <w:rPr>
          <w:lang w:val="en-US"/>
        </w:rPr>
        <w:t>, RAN1 NR Ad-Hoc#3</w:t>
      </w:r>
    </w:p>
    <w:sectPr w:rsidR="008C7C1C" w:rsidRPr="00734D4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CCA74E" w14:textId="77777777" w:rsidR="005914A2" w:rsidRDefault="005914A2">
      <w:r>
        <w:separator/>
      </w:r>
    </w:p>
  </w:endnote>
  <w:endnote w:type="continuationSeparator" w:id="0">
    <w:p w14:paraId="499F719C" w14:textId="77777777" w:rsidR="005914A2" w:rsidRDefault="00591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41118B" w14:textId="77777777" w:rsidR="005914A2" w:rsidRDefault="005914A2">
      <w:r>
        <w:separator/>
      </w:r>
    </w:p>
  </w:footnote>
  <w:footnote w:type="continuationSeparator" w:id="0">
    <w:p w14:paraId="1F154C31" w14:textId="77777777" w:rsidR="005914A2" w:rsidRDefault="005914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8"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1"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5"/>
  </w:num>
  <w:num w:numId="2">
    <w:abstractNumId w:val="10"/>
  </w:num>
  <w:num w:numId="3">
    <w:abstractNumId w:val="6"/>
  </w:num>
  <w:num w:numId="4">
    <w:abstractNumId w:val="4"/>
  </w:num>
  <w:num w:numId="5">
    <w:abstractNumId w:val="2"/>
  </w:num>
  <w:num w:numId="6">
    <w:abstractNumId w:val="9"/>
  </w:num>
  <w:num w:numId="7">
    <w:abstractNumId w:val="8"/>
  </w:num>
  <w:num w:numId="8">
    <w:abstractNumId w:val="11"/>
  </w:num>
  <w:num w:numId="9">
    <w:abstractNumId w:val="0"/>
  </w:num>
  <w:num w:numId="10">
    <w:abstractNumId w:val="7"/>
  </w:num>
  <w:num w:numId="11">
    <w:abstractNumId w:val="3"/>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70"/>
  <w:removePersonalInformation/>
  <w:removeDateAndTime/>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5254"/>
    <w:rsid w:val="000158AF"/>
    <w:rsid w:val="00015BDA"/>
    <w:rsid w:val="00016128"/>
    <w:rsid w:val="00017700"/>
    <w:rsid w:val="00020A30"/>
    <w:rsid w:val="00020DD1"/>
    <w:rsid w:val="00020F3E"/>
    <w:rsid w:val="00022895"/>
    <w:rsid w:val="00023DD5"/>
    <w:rsid w:val="000248DE"/>
    <w:rsid w:val="00024935"/>
    <w:rsid w:val="000253AD"/>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443"/>
    <w:rsid w:val="00043584"/>
    <w:rsid w:val="00043AFE"/>
    <w:rsid w:val="00044500"/>
    <w:rsid w:val="000449E4"/>
    <w:rsid w:val="00044F7E"/>
    <w:rsid w:val="00045DB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55E"/>
    <w:rsid w:val="0006492F"/>
    <w:rsid w:val="00064F29"/>
    <w:rsid w:val="000651E8"/>
    <w:rsid w:val="0006597E"/>
    <w:rsid w:val="00065AED"/>
    <w:rsid w:val="000662C6"/>
    <w:rsid w:val="00070D52"/>
    <w:rsid w:val="000714F0"/>
    <w:rsid w:val="00071C5B"/>
    <w:rsid w:val="00071FD9"/>
    <w:rsid w:val="000722FA"/>
    <w:rsid w:val="0007282C"/>
    <w:rsid w:val="00072B84"/>
    <w:rsid w:val="00072BBA"/>
    <w:rsid w:val="00074631"/>
    <w:rsid w:val="00075240"/>
    <w:rsid w:val="00076759"/>
    <w:rsid w:val="000768C2"/>
    <w:rsid w:val="000772A2"/>
    <w:rsid w:val="00077435"/>
    <w:rsid w:val="00080202"/>
    <w:rsid w:val="00080295"/>
    <w:rsid w:val="00081762"/>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E72"/>
    <w:rsid w:val="000926C6"/>
    <w:rsid w:val="00092FCA"/>
    <w:rsid w:val="00093A40"/>
    <w:rsid w:val="00093ABB"/>
    <w:rsid w:val="00093DAB"/>
    <w:rsid w:val="00094037"/>
    <w:rsid w:val="00094B89"/>
    <w:rsid w:val="00095196"/>
    <w:rsid w:val="0009666A"/>
    <w:rsid w:val="000A1523"/>
    <w:rsid w:val="000A17F4"/>
    <w:rsid w:val="000A1DE4"/>
    <w:rsid w:val="000A2774"/>
    <w:rsid w:val="000A3CF3"/>
    <w:rsid w:val="000A5921"/>
    <w:rsid w:val="000A596D"/>
    <w:rsid w:val="000A6EF1"/>
    <w:rsid w:val="000A703E"/>
    <w:rsid w:val="000A731E"/>
    <w:rsid w:val="000A75ED"/>
    <w:rsid w:val="000A75EE"/>
    <w:rsid w:val="000A7B44"/>
    <w:rsid w:val="000B0E91"/>
    <w:rsid w:val="000B1F9F"/>
    <w:rsid w:val="000B2700"/>
    <w:rsid w:val="000B3359"/>
    <w:rsid w:val="000B37A9"/>
    <w:rsid w:val="000B5807"/>
    <w:rsid w:val="000B6576"/>
    <w:rsid w:val="000C0F14"/>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406A"/>
    <w:rsid w:val="000D422B"/>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7FEC"/>
    <w:rsid w:val="00100BDB"/>
    <w:rsid w:val="00102D92"/>
    <w:rsid w:val="001039C1"/>
    <w:rsid w:val="00103BF1"/>
    <w:rsid w:val="00104A5D"/>
    <w:rsid w:val="00104CBF"/>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5E0"/>
    <w:rsid w:val="00126D70"/>
    <w:rsid w:val="00127607"/>
    <w:rsid w:val="00127634"/>
    <w:rsid w:val="001302B0"/>
    <w:rsid w:val="0013089C"/>
    <w:rsid w:val="00130B76"/>
    <w:rsid w:val="00132010"/>
    <w:rsid w:val="0013204D"/>
    <w:rsid w:val="00133BF0"/>
    <w:rsid w:val="00133C60"/>
    <w:rsid w:val="00134460"/>
    <w:rsid w:val="0013454D"/>
    <w:rsid w:val="0013462E"/>
    <w:rsid w:val="00134907"/>
    <w:rsid w:val="00135A14"/>
    <w:rsid w:val="00135E57"/>
    <w:rsid w:val="001363BD"/>
    <w:rsid w:val="00137A9B"/>
    <w:rsid w:val="0014033A"/>
    <w:rsid w:val="00141348"/>
    <w:rsid w:val="00141C30"/>
    <w:rsid w:val="0014253C"/>
    <w:rsid w:val="00142543"/>
    <w:rsid w:val="0014266F"/>
    <w:rsid w:val="00142978"/>
    <w:rsid w:val="0014377B"/>
    <w:rsid w:val="00144594"/>
    <w:rsid w:val="001453B0"/>
    <w:rsid w:val="0014694E"/>
    <w:rsid w:val="00146D3F"/>
    <w:rsid w:val="0014763F"/>
    <w:rsid w:val="00147BFA"/>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71F1D"/>
    <w:rsid w:val="00172746"/>
    <w:rsid w:val="001732F9"/>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66BB"/>
    <w:rsid w:val="001875DB"/>
    <w:rsid w:val="00187E09"/>
    <w:rsid w:val="001902AF"/>
    <w:rsid w:val="00190561"/>
    <w:rsid w:val="00191523"/>
    <w:rsid w:val="00191F7D"/>
    <w:rsid w:val="001926DA"/>
    <w:rsid w:val="00192E0F"/>
    <w:rsid w:val="00193071"/>
    <w:rsid w:val="00193492"/>
    <w:rsid w:val="0019356F"/>
    <w:rsid w:val="001937D0"/>
    <w:rsid w:val="00194A56"/>
    <w:rsid w:val="00194CFD"/>
    <w:rsid w:val="001964F1"/>
    <w:rsid w:val="0019703F"/>
    <w:rsid w:val="001973FE"/>
    <w:rsid w:val="00197594"/>
    <w:rsid w:val="00197C8F"/>
    <w:rsid w:val="001A0A22"/>
    <w:rsid w:val="001A1C7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4C89"/>
    <w:rsid w:val="001E5AE2"/>
    <w:rsid w:val="001E5BD5"/>
    <w:rsid w:val="001E5C11"/>
    <w:rsid w:val="001E6020"/>
    <w:rsid w:val="001E6C1F"/>
    <w:rsid w:val="001F0541"/>
    <w:rsid w:val="001F06F5"/>
    <w:rsid w:val="001F089A"/>
    <w:rsid w:val="001F3613"/>
    <w:rsid w:val="001F3B85"/>
    <w:rsid w:val="001F48BC"/>
    <w:rsid w:val="001F6769"/>
    <w:rsid w:val="001F7B7B"/>
    <w:rsid w:val="00200D51"/>
    <w:rsid w:val="00201AED"/>
    <w:rsid w:val="002026D6"/>
    <w:rsid w:val="00202719"/>
    <w:rsid w:val="002042F6"/>
    <w:rsid w:val="00204661"/>
    <w:rsid w:val="00204A73"/>
    <w:rsid w:val="002053E5"/>
    <w:rsid w:val="00205D25"/>
    <w:rsid w:val="00205EF8"/>
    <w:rsid w:val="002064F0"/>
    <w:rsid w:val="00207162"/>
    <w:rsid w:val="00207193"/>
    <w:rsid w:val="002078C8"/>
    <w:rsid w:val="00210623"/>
    <w:rsid w:val="002109E3"/>
    <w:rsid w:val="0021123D"/>
    <w:rsid w:val="002119FA"/>
    <w:rsid w:val="00211AB8"/>
    <w:rsid w:val="00212377"/>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BF4"/>
    <w:rsid w:val="00237CFD"/>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FF9"/>
    <w:rsid w:val="0025518F"/>
    <w:rsid w:val="00255E54"/>
    <w:rsid w:val="0025724F"/>
    <w:rsid w:val="00257C0B"/>
    <w:rsid w:val="002611A6"/>
    <w:rsid w:val="002616B5"/>
    <w:rsid w:val="002636F9"/>
    <w:rsid w:val="002643AC"/>
    <w:rsid w:val="00267D15"/>
    <w:rsid w:val="00267E6A"/>
    <w:rsid w:val="00272AE9"/>
    <w:rsid w:val="00273314"/>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C35"/>
    <w:rsid w:val="002A610A"/>
    <w:rsid w:val="002A66A3"/>
    <w:rsid w:val="002A6F10"/>
    <w:rsid w:val="002A6FDD"/>
    <w:rsid w:val="002B0178"/>
    <w:rsid w:val="002B12C8"/>
    <w:rsid w:val="002B1714"/>
    <w:rsid w:val="002B1B24"/>
    <w:rsid w:val="002B2AD0"/>
    <w:rsid w:val="002B338A"/>
    <w:rsid w:val="002B4252"/>
    <w:rsid w:val="002B5486"/>
    <w:rsid w:val="002B6B85"/>
    <w:rsid w:val="002B7713"/>
    <w:rsid w:val="002B7EB9"/>
    <w:rsid w:val="002C0869"/>
    <w:rsid w:val="002C1170"/>
    <w:rsid w:val="002C1C0C"/>
    <w:rsid w:val="002C21B4"/>
    <w:rsid w:val="002C3C78"/>
    <w:rsid w:val="002C48C8"/>
    <w:rsid w:val="002C506C"/>
    <w:rsid w:val="002C74BD"/>
    <w:rsid w:val="002C776B"/>
    <w:rsid w:val="002C7A61"/>
    <w:rsid w:val="002D183C"/>
    <w:rsid w:val="002D1E4A"/>
    <w:rsid w:val="002D2A25"/>
    <w:rsid w:val="002D2C93"/>
    <w:rsid w:val="002D3E6F"/>
    <w:rsid w:val="002D4079"/>
    <w:rsid w:val="002D454E"/>
    <w:rsid w:val="002D4563"/>
    <w:rsid w:val="002D465C"/>
    <w:rsid w:val="002D4A21"/>
    <w:rsid w:val="002D4C75"/>
    <w:rsid w:val="002D70D6"/>
    <w:rsid w:val="002D7743"/>
    <w:rsid w:val="002D7FC3"/>
    <w:rsid w:val="002E0273"/>
    <w:rsid w:val="002E141B"/>
    <w:rsid w:val="002E178C"/>
    <w:rsid w:val="002E1AC0"/>
    <w:rsid w:val="002E1C23"/>
    <w:rsid w:val="002E2ADA"/>
    <w:rsid w:val="002E3F00"/>
    <w:rsid w:val="002E4120"/>
    <w:rsid w:val="002E4C88"/>
    <w:rsid w:val="002E51CA"/>
    <w:rsid w:val="002E5266"/>
    <w:rsid w:val="002E56AD"/>
    <w:rsid w:val="002E59E3"/>
    <w:rsid w:val="002E648C"/>
    <w:rsid w:val="002E79F5"/>
    <w:rsid w:val="002E7CAB"/>
    <w:rsid w:val="002E7D51"/>
    <w:rsid w:val="002F16B0"/>
    <w:rsid w:val="002F18B2"/>
    <w:rsid w:val="002F19E7"/>
    <w:rsid w:val="002F1CA7"/>
    <w:rsid w:val="002F27B9"/>
    <w:rsid w:val="002F30AA"/>
    <w:rsid w:val="002F3192"/>
    <w:rsid w:val="002F34C8"/>
    <w:rsid w:val="002F3BB6"/>
    <w:rsid w:val="002F47AC"/>
    <w:rsid w:val="002F55CA"/>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5C94"/>
    <w:rsid w:val="00305D8A"/>
    <w:rsid w:val="00306C26"/>
    <w:rsid w:val="003070FA"/>
    <w:rsid w:val="00307264"/>
    <w:rsid w:val="003107C4"/>
    <w:rsid w:val="003116AA"/>
    <w:rsid w:val="003125E1"/>
    <w:rsid w:val="0031295A"/>
    <w:rsid w:val="00312A1A"/>
    <w:rsid w:val="00313C46"/>
    <w:rsid w:val="003158AC"/>
    <w:rsid w:val="0031776F"/>
    <w:rsid w:val="00320051"/>
    <w:rsid w:val="003207AA"/>
    <w:rsid w:val="00321310"/>
    <w:rsid w:val="00324A94"/>
    <w:rsid w:val="00325480"/>
    <w:rsid w:val="0032587F"/>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385F"/>
    <w:rsid w:val="00364998"/>
    <w:rsid w:val="0036512D"/>
    <w:rsid w:val="0036745C"/>
    <w:rsid w:val="0036795D"/>
    <w:rsid w:val="00367A49"/>
    <w:rsid w:val="00370082"/>
    <w:rsid w:val="0037087A"/>
    <w:rsid w:val="00370B27"/>
    <w:rsid w:val="00371D2E"/>
    <w:rsid w:val="00372408"/>
    <w:rsid w:val="00372B12"/>
    <w:rsid w:val="00373955"/>
    <w:rsid w:val="00375E20"/>
    <w:rsid w:val="00375F8F"/>
    <w:rsid w:val="0037628D"/>
    <w:rsid w:val="00376B4A"/>
    <w:rsid w:val="00377680"/>
    <w:rsid w:val="0037791B"/>
    <w:rsid w:val="00380069"/>
    <w:rsid w:val="00380393"/>
    <w:rsid w:val="0038209B"/>
    <w:rsid w:val="00382CB1"/>
    <w:rsid w:val="00383560"/>
    <w:rsid w:val="00383AD0"/>
    <w:rsid w:val="0038446C"/>
    <w:rsid w:val="00384BBB"/>
    <w:rsid w:val="00385E29"/>
    <w:rsid w:val="003866FF"/>
    <w:rsid w:val="00386B76"/>
    <w:rsid w:val="003877FF"/>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35"/>
    <w:rsid w:val="003A265E"/>
    <w:rsid w:val="003A3B43"/>
    <w:rsid w:val="003A40C2"/>
    <w:rsid w:val="003A578E"/>
    <w:rsid w:val="003A61BC"/>
    <w:rsid w:val="003A683A"/>
    <w:rsid w:val="003B017E"/>
    <w:rsid w:val="003B0559"/>
    <w:rsid w:val="003B208B"/>
    <w:rsid w:val="003B2101"/>
    <w:rsid w:val="003B23D9"/>
    <w:rsid w:val="003B240F"/>
    <w:rsid w:val="003B28CB"/>
    <w:rsid w:val="003B2C36"/>
    <w:rsid w:val="003B2EF1"/>
    <w:rsid w:val="003B3AC5"/>
    <w:rsid w:val="003B40C4"/>
    <w:rsid w:val="003B44CF"/>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3CD"/>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7B13"/>
    <w:rsid w:val="003F7DA7"/>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CD6"/>
    <w:rsid w:val="004179E1"/>
    <w:rsid w:val="004225F5"/>
    <w:rsid w:val="00422E43"/>
    <w:rsid w:val="00423E69"/>
    <w:rsid w:val="00424F03"/>
    <w:rsid w:val="004255AE"/>
    <w:rsid w:val="00426DB6"/>
    <w:rsid w:val="004314D0"/>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42AB"/>
    <w:rsid w:val="00444438"/>
    <w:rsid w:val="00444584"/>
    <w:rsid w:val="00445147"/>
    <w:rsid w:val="00446559"/>
    <w:rsid w:val="004465AC"/>
    <w:rsid w:val="004467E0"/>
    <w:rsid w:val="00446970"/>
    <w:rsid w:val="0044714E"/>
    <w:rsid w:val="0044739B"/>
    <w:rsid w:val="004473FC"/>
    <w:rsid w:val="00447C9F"/>
    <w:rsid w:val="00447E0E"/>
    <w:rsid w:val="0045004A"/>
    <w:rsid w:val="004502BB"/>
    <w:rsid w:val="0045030A"/>
    <w:rsid w:val="00451102"/>
    <w:rsid w:val="00451B85"/>
    <w:rsid w:val="004529DC"/>
    <w:rsid w:val="004535F6"/>
    <w:rsid w:val="00453AD5"/>
    <w:rsid w:val="00453BA4"/>
    <w:rsid w:val="00453DC1"/>
    <w:rsid w:val="00453E91"/>
    <w:rsid w:val="00454202"/>
    <w:rsid w:val="0045514D"/>
    <w:rsid w:val="00455922"/>
    <w:rsid w:val="00455DBF"/>
    <w:rsid w:val="0045736F"/>
    <w:rsid w:val="00457B1E"/>
    <w:rsid w:val="00457D12"/>
    <w:rsid w:val="004608CA"/>
    <w:rsid w:val="00461C0B"/>
    <w:rsid w:val="00461C6F"/>
    <w:rsid w:val="00461F29"/>
    <w:rsid w:val="00464032"/>
    <w:rsid w:val="004641E0"/>
    <w:rsid w:val="00464E7B"/>
    <w:rsid w:val="0046547A"/>
    <w:rsid w:val="00470C14"/>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38E0"/>
    <w:rsid w:val="00483B9C"/>
    <w:rsid w:val="00483F1A"/>
    <w:rsid w:val="00484679"/>
    <w:rsid w:val="004868BA"/>
    <w:rsid w:val="00487708"/>
    <w:rsid w:val="00487FD0"/>
    <w:rsid w:val="00492B7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895"/>
    <w:rsid w:val="004A4EE8"/>
    <w:rsid w:val="004A539C"/>
    <w:rsid w:val="004A5774"/>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771"/>
    <w:rsid w:val="004E53B7"/>
    <w:rsid w:val="004E5E21"/>
    <w:rsid w:val="004E6386"/>
    <w:rsid w:val="004E75E2"/>
    <w:rsid w:val="004F002D"/>
    <w:rsid w:val="004F030E"/>
    <w:rsid w:val="004F047B"/>
    <w:rsid w:val="004F180E"/>
    <w:rsid w:val="004F4041"/>
    <w:rsid w:val="004F458B"/>
    <w:rsid w:val="004F71BE"/>
    <w:rsid w:val="004F76F4"/>
    <w:rsid w:val="004F7CBE"/>
    <w:rsid w:val="00500111"/>
    <w:rsid w:val="0050159D"/>
    <w:rsid w:val="00501D0C"/>
    <w:rsid w:val="00502149"/>
    <w:rsid w:val="00502680"/>
    <w:rsid w:val="005046A6"/>
    <w:rsid w:val="005046CD"/>
    <w:rsid w:val="005073E7"/>
    <w:rsid w:val="00510BDB"/>
    <w:rsid w:val="0051153D"/>
    <w:rsid w:val="005123FA"/>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428D"/>
    <w:rsid w:val="00525633"/>
    <w:rsid w:val="005258A3"/>
    <w:rsid w:val="0053051C"/>
    <w:rsid w:val="00531529"/>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3610"/>
    <w:rsid w:val="0056397A"/>
    <w:rsid w:val="00563F3F"/>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6193"/>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300"/>
    <w:rsid w:val="005C0E78"/>
    <w:rsid w:val="005C0F1C"/>
    <w:rsid w:val="005C1011"/>
    <w:rsid w:val="005C1599"/>
    <w:rsid w:val="005C17E7"/>
    <w:rsid w:val="005C1EBA"/>
    <w:rsid w:val="005C40B5"/>
    <w:rsid w:val="005C4312"/>
    <w:rsid w:val="005C45B0"/>
    <w:rsid w:val="005C4AE9"/>
    <w:rsid w:val="005C5AF3"/>
    <w:rsid w:val="005C6469"/>
    <w:rsid w:val="005C66F5"/>
    <w:rsid w:val="005C6B83"/>
    <w:rsid w:val="005D0BCB"/>
    <w:rsid w:val="005D1238"/>
    <w:rsid w:val="005D33B0"/>
    <w:rsid w:val="005D3C59"/>
    <w:rsid w:val="005D3E1C"/>
    <w:rsid w:val="005D4EA4"/>
    <w:rsid w:val="005D6F96"/>
    <w:rsid w:val="005D76CC"/>
    <w:rsid w:val="005E4F17"/>
    <w:rsid w:val="005E5C5A"/>
    <w:rsid w:val="005F09AC"/>
    <w:rsid w:val="005F16E3"/>
    <w:rsid w:val="005F25C7"/>
    <w:rsid w:val="005F27D1"/>
    <w:rsid w:val="005F2CFA"/>
    <w:rsid w:val="005F3133"/>
    <w:rsid w:val="005F3ABB"/>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6636"/>
    <w:rsid w:val="006168C6"/>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999"/>
    <w:rsid w:val="00672722"/>
    <w:rsid w:val="00672882"/>
    <w:rsid w:val="00673305"/>
    <w:rsid w:val="0067651B"/>
    <w:rsid w:val="00676915"/>
    <w:rsid w:val="00676B76"/>
    <w:rsid w:val="006805BE"/>
    <w:rsid w:val="006807A0"/>
    <w:rsid w:val="00680CC1"/>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54D"/>
    <w:rsid w:val="0069475E"/>
    <w:rsid w:val="00694DB2"/>
    <w:rsid w:val="00695AA2"/>
    <w:rsid w:val="00696829"/>
    <w:rsid w:val="00696F27"/>
    <w:rsid w:val="006A0179"/>
    <w:rsid w:val="006A0452"/>
    <w:rsid w:val="006A09C8"/>
    <w:rsid w:val="006A0CCF"/>
    <w:rsid w:val="006A14FE"/>
    <w:rsid w:val="006A1756"/>
    <w:rsid w:val="006A2EEC"/>
    <w:rsid w:val="006A3128"/>
    <w:rsid w:val="006A3BBD"/>
    <w:rsid w:val="006A4090"/>
    <w:rsid w:val="006A4615"/>
    <w:rsid w:val="006A4706"/>
    <w:rsid w:val="006A65AF"/>
    <w:rsid w:val="006A7198"/>
    <w:rsid w:val="006B06A8"/>
    <w:rsid w:val="006B1F58"/>
    <w:rsid w:val="006B2825"/>
    <w:rsid w:val="006B2DA0"/>
    <w:rsid w:val="006B519C"/>
    <w:rsid w:val="006B6286"/>
    <w:rsid w:val="006B6383"/>
    <w:rsid w:val="006B64D4"/>
    <w:rsid w:val="006B67ED"/>
    <w:rsid w:val="006B70BA"/>
    <w:rsid w:val="006B74A4"/>
    <w:rsid w:val="006B7B90"/>
    <w:rsid w:val="006C01D4"/>
    <w:rsid w:val="006C01E2"/>
    <w:rsid w:val="006C19C1"/>
    <w:rsid w:val="006C207B"/>
    <w:rsid w:val="006C2393"/>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36E6"/>
    <w:rsid w:val="006E5D10"/>
    <w:rsid w:val="006E68E5"/>
    <w:rsid w:val="006E761F"/>
    <w:rsid w:val="006E7AF8"/>
    <w:rsid w:val="006F0145"/>
    <w:rsid w:val="006F0EAC"/>
    <w:rsid w:val="006F12B6"/>
    <w:rsid w:val="006F1E4B"/>
    <w:rsid w:val="006F20AD"/>
    <w:rsid w:val="006F2EFD"/>
    <w:rsid w:val="006F31EF"/>
    <w:rsid w:val="006F4F0A"/>
    <w:rsid w:val="006F6B4D"/>
    <w:rsid w:val="006F79AC"/>
    <w:rsid w:val="00700BCA"/>
    <w:rsid w:val="00700E71"/>
    <w:rsid w:val="007028BA"/>
    <w:rsid w:val="0070395A"/>
    <w:rsid w:val="00703A71"/>
    <w:rsid w:val="00704252"/>
    <w:rsid w:val="00704510"/>
    <w:rsid w:val="007046DC"/>
    <w:rsid w:val="00704A78"/>
    <w:rsid w:val="00704DC8"/>
    <w:rsid w:val="00704E38"/>
    <w:rsid w:val="00705B66"/>
    <w:rsid w:val="0070729E"/>
    <w:rsid w:val="00707344"/>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3FB"/>
    <w:rsid w:val="00730886"/>
    <w:rsid w:val="007308ED"/>
    <w:rsid w:val="00730B54"/>
    <w:rsid w:val="0073110A"/>
    <w:rsid w:val="00732778"/>
    <w:rsid w:val="00732AA5"/>
    <w:rsid w:val="00733769"/>
    <w:rsid w:val="0073419C"/>
    <w:rsid w:val="007341C4"/>
    <w:rsid w:val="00734D40"/>
    <w:rsid w:val="0074110A"/>
    <w:rsid w:val="00744132"/>
    <w:rsid w:val="00745C41"/>
    <w:rsid w:val="00746972"/>
    <w:rsid w:val="00746C2B"/>
    <w:rsid w:val="00747A68"/>
    <w:rsid w:val="00747B18"/>
    <w:rsid w:val="00747B56"/>
    <w:rsid w:val="0075220B"/>
    <w:rsid w:val="007526C2"/>
    <w:rsid w:val="00752EB9"/>
    <w:rsid w:val="0075397D"/>
    <w:rsid w:val="00754292"/>
    <w:rsid w:val="0075440A"/>
    <w:rsid w:val="007547C7"/>
    <w:rsid w:val="007552CF"/>
    <w:rsid w:val="007563C3"/>
    <w:rsid w:val="007568A4"/>
    <w:rsid w:val="0075729B"/>
    <w:rsid w:val="00757597"/>
    <w:rsid w:val="00757FCD"/>
    <w:rsid w:val="00760CBF"/>
    <w:rsid w:val="007614C0"/>
    <w:rsid w:val="007630DE"/>
    <w:rsid w:val="0076321B"/>
    <w:rsid w:val="007637FC"/>
    <w:rsid w:val="00764DED"/>
    <w:rsid w:val="00765456"/>
    <w:rsid w:val="007675FD"/>
    <w:rsid w:val="007676DA"/>
    <w:rsid w:val="00770501"/>
    <w:rsid w:val="007720FB"/>
    <w:rsid w:val="0077257F"/>
    <w:rsid w:val="00772B16"/>
    <w:rsid w:val="00774322"/>
    <w:rsid w:val="007748A4"/>
    <w:rsid w:val="00774B85"/>
    <w:rsid w:val="00774D93"/>
    <w:rsid w:val="00776025"/>
    <w:rsid w:val="00777F72"/>
    <w:rsid w:val="00780C23"/>
    <w:rsid w:val="00780E57"/>
    <w:rsid w:val="00781011"/>
    <w:rsid w:val="00781585"/>
    <w:rsid w:val="00781653"/>
    <w:rsid w:val="007821F6"/>
    <w:rsid w:val="007823D9"/>
    <w:rsid w:val="00785DDE"/>
    <w:rsid w:val="00785FE2"/>
    <w:rsid w:val="00786083"/>
    <w:rsid w:val="0078697D"/>
    <w:rsid w:val="00791264"/>
    <w:rsid w:val="00793011"/>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7C0"/>
    <w:rsid w:val="007A4A8E"/>
    <w:rsid w:val="007A4C2A"/>
    <w:rsid w:val="007A604B"/>
    <w:rsid w:val="007A6F5F"/>
    <w:rsid w:val="007B0D69"/>
    <w:rsid w:val="007B178B"/>
    <w:rsid w:val="007B1A06"/>
    <w:rsid w:val="007B1DF9"/>
    <w:rsid w:val="007B1EE7"/>
    <w:rsid w:val="007B33FE"/>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ACD"/>
    <w:rsid w:val="007D5CF1"/>
    <w:rsid w:val="007D62A1"/>
    <w:rsid w:val="007D78CC"/>
    <w:rsid w:val="007E1342"/>
    <w:rsid w:val="007E169E"/>
    <w:rsid w:val="007E1A2A"/>
    <w:rsid w:val="007E3661"/>
    <w:rsid w:val="007E3F04"/>
    <w:rsid w:val="007E52A4"/>
    <w:rsid w:val="007E6D4B"/>
    <w:rsid w:val="007F15B7"/>
    <w:rsid w:val="007F1685"/>
    <w:rsid w:val="007F1835"/>
    <w:rsid w:val="007F2A4B"/>
    <w:rsid w:val="007F32ED"/>
    <w:rsid w:val="007F395A"/>
    <w:rsid w:val="007F411C"/>
    <w:rsid w:val="007F50EF"/>
    <w:rsid w:val="007F68B0"/>
    <w:rsid w:val="007F740E"/>
    <w:rsid w:val="007F74CA"/>
    <w:rsid w:val="007F7835"/>
    <w:rsid w:val="00800DA3"/>
    <w:rsid w:val="00801E84"/>
    <w:rsid w:val="008030DF"/>
    <w:rsid w:val="0080376D"/>
    <w:rsid w:val="0080576A"/>
    <w:rsid w:val="00806634"/>
    <w:rsid w:val="00807A21"/>
    <w:rsid w:val="00807CE3"/>
    <w:rsid w:val="008100E1"/>
    <w:rsid w:val="00810257"/>
    <w:rsid w:val="008103BA"/>
    <w:rsid w:val="008135BB"/>
    <w:rsid w:val="00813765"/>
    <w:rsid w:val="00813EAF"/>
    <w:rsid w:val="008154A5"/>
    <w:rsid w:val="00816170"/>
    <w:rsid w:val="00817192"/>
    <w:rsid w:val="0081779A"/>
    <w:rsid w:val="008227D0"/>
    <w:rsid w:val="00822F89"/>
    <w:rsid w:val="00823E60"/>
    <w:rsid w:val="00823F69"/>
    <w:rsid w:val="0082460D"/>
    <w:rsid w:val="008250AB"/>
    <w:rsid w:val="00825BB3"/>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411BC"/>
    <w:rsid w:val="00841435"/>
    <w:rsid w:val="008418C1"/>
    <w:rsid w:val="008419EB"/>
    <w:rsid w:val="00843091"/>
    <w:rsid w:val="008430BD"/>
    <w:rsid w:val="008434CD"/>
    <w:rsid w:val="008436FA"/>
    <w:rsid w:val="00843CA0"/>
    <w:rsid w:val="00844222"/>
    <w:rsid w:val="0084477E"/>
    <w:rsid w:val="00844FA2"/>
    <w:rsid w:val="0084523D"/>
    <w:rsid w:val="00846477"/>
    <w:rsid w:val="00846BFA"/>
    <w:rsid w:val="00850857"/>
    <w:rsid w:val="00850E04"/>
    <w:rsid w:val="008516AD"/>
    <w:rsid w:val="00851D9D"/>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807"/>
    <w:rsid w:val="00866261"/>
    <w:rsid w:val="0086667E"/>
    <w:rsid w:val="0086756C"/>
    <w:rsid w:val="00871456"/>
    <w:rsid w:val="00872491"/>
    <w:rsid w:val="00873169"/>
    <w:rsid w:val="008749AE"/>
    <w:rsid w:val="0087511C"/>
    <w:rsid w:val="00875E07"/>
    <w:rsid w:val="00875FB1"/>
    <w:rsid w:val="0087666A"/>
    <w:rsid w:val="00876BBC"/>
    <w:rsid w:val="00877255"/>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489E"/>
    <w:rsid w:val="00895A3A"/>
    <w:rsid w:val="008963DD"/>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95C"/>
    <w:rsid w:val="008A6A6F"/>
    <w:rsid w:val="008B0259"/>
    <w:rsid w:val="008B09B6"/>
    <w:rsid w:val="008B19E2"/>
    <w:rsid w:val="008B2BBE"/>
    <w:rsid w:val="008B2CFD"/>
    <w:rsid w:val="008B3B72"/>
    <w:rsid w:val="008B563B"/>
    <w:rsid w:val="008B6B41"/>
    <w:rsid w:val="008B6BA2"/>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74"/>
    <w:rsid w:val="008D23ED"/>
    <w:rsid w:val="008D28D0"/>
    <w:rsid w:val="008D33CC"/>
    <w:rsid w:val="008D34DD"/>
    <w:rsid w:val="008D5459"/>
    <w:rsid w:val="008D5610"/>
    <w:rsid w:val="008D6B0A"/>
    <w:rsid w:val="008D7027"/>
    <w:rsid w:val="008D79ED"/>
    <w:rsid w:val="008D7A09"/>
    <w:rsid w:val="008E357B"/>
    <w:rsid w:val="008E3E4F"/>
    <w:rsid w:val="008E586B"/>
    <w:rsid w:val="008E6916"/>
    <w:rsid w:val="008E719C"/>
    <w:rsid w:val="008E75DE"/>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2166"/>
    <w:rsid w:val="009022AE"/>
    <w:rsid w:val="009024DF"/>
    <w:rsid w:val="00902ACB"/>
    <w:rsid w:val="00902C91"/>
    <w:rsid w:val="00902E65"/>
    <w:rsid w:val="00903301"/>
    <w:rsid w:val="00904135"/>
    <w:rsid w:val="009050E5"/>
    <w:rsid w:val="009058A4"/>
    <w:rsid w:val="00905AF7"/>
    <w:rsid w:val="00906269"/>
    <w:rsid w:val="00906308"/>
    <w:rsid w:val="0090736D"/>
    <w:rsid w:val="009074FA"/>
    <w:rsid w:val="0090772A"/>
    <w:rsid w:val="00907A30"/>
    <w:rsid w:val="00907A64"/>
    <w:rsid w:val="00910226"/>
    <w:rsid w:val="00911F58"/>
    <w:rsid w:val="00912A60"/>
    <w:rsid w:val="009147BF"/>
    <w:rsid w:val="009149B3"/>
    <w:rsid w:val="00915775"/>
    <w:rsid w:val="00915BE2"/>
    <w:rsid w:val="00915C89"/>
    <w:rsid w:val="00916B66"/>
    <w:rsid w:val="00916CCA"/>
    <w:rsid w:val="009175CD"/>
    <w:rsid w:val="00922563"/>
    <w:rsid w:val="00925056"/>
    <w:rsid w:val="00925E68"/>
    <w:rsid w:val="00925F38"/>
    <w:rsid w:val="00926B47"/>
    <w:rsid w:val="00927472"/>
    <w:rsid w:val="00927F5D"/>
    <w:rsid w:val="00931259"/>
    <w:rsid w:val="009336CF"/>
    <w:rsid w:val="00933B8B"/>
    <w:rsid w:val="00934ABD"/>
    <w:rsid w:val="00935B56"/>
    <w:rsid w:val="009364EC"/>
    <w:rsid w:val="009366F7"/>
    <w:rsid w:val="009368BB"/>
    <w:rsid w:val="0093769C"/>
    <w:rsid w:val="00937B22"/>
    <w:rsid w:val="009400E5"/>
    <w:rsid w:val="009401AC"/>
    <w:rsid w:val="009402E0"/>
    <w:rsid w:val="00940457"/>
    <w:rsid w:val="00941246"/>
    <w:rsid w:val="0094210B"/>
    <w:rsid w:val="009428BD"/>
    <w:rsid w:val="00942A38"/>
    <w:rsid w:val="00942C3D"/>
    <w:rsid w:val="00943464"/>
    <w:rsid w:val="00944B7A"/>
    <w:rsid w:val="00944CC7"/>
    <w:rsid w:val="009469B4"/>
    <w:rsid w:val="0094737A"/>
    <w:rsid w:val="00950041"/>
    <w:rsid w:val="00950F58"/>
    <w:rsid w:val="00952BA8"/>
    <w:rsid w:val="00952FC2"/>
    <w:rsid w:val="009536A4"/>
    <w:rsid w:val="009540C9"/>
    <w:rsid w:val="0095503E"/>
    <w:rsid w:val="00956C12"/>
    <w:rsid w:val="00956D23"/>
    <w:rsid w:val="00956F82"/>
    <w:rsid w:val="0095711E"/>
    <w:rsid w:val="009573A8"/>
    <w:rsid w:val="00957D7E"/>
    <w:rsid w:val="0096059C"/>
    <w:rsid w:val="00960B54"/>
    <w:rsid w:val="00961BAA"/>
    <w:rsid w:val="009622FC"/>
    <w:rsid w:val="00964E20"/>
    <w:rsid w:val="00965924"/>
    <w:rsid w:val="0096615B"/>
    <w:rsid w:val="00970F97"/>
    <w:rsid w:val="009710D2"/>
    <w:rsid w:val="00971279"/>
    <w:rsid w:val="0097138A"/>
    <w:rsid w:val="00971AAA"/>
    <w:rsid w:val="00973E93"/>
    <w:rsid w:val="00974545"/>
    <w:rsid w:val="00975C16"/>
    <w:rsid w:val="0098197D"/>
    <w:rsid w:val="00981DD6"/>
    <w:rsid w:val="009840EA"/>
    <w:rsid w:val="009847C6"/>
    <w:rsid w:val="009856D7"/>
    <w:rsid w:val="00990617"/>
    <w:rsid w:val="0099184C"/>
    <w:rsid w:val="009920D1"/>
    <w:rsid w:val="009921BF"/>
    <w:rsid w:val="009922CE"/>
    <w:rsid w:val="00992601"/>
    <w:rsid w:val="0099289F"/>
    <w:rsid w:val="009929C9"/>
    <w:rsid w:val="0099378C"/>
    <w:rsid w:val="00993D3A"/>
    <w:rsid w:val="00994AAD"/>
    <w:rsid w:val="00994FC3"/>
    <w:rsid w:val="0099516A"/>
    <w:rsid w:val="009953C0"/>
    <w:rsid w:val="009A145D"/>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C2569"/>
    <w:rsid w:val="009C2EE1"/>
    <w:rsid w:val="009C30E6"/>
    <w:rsid w:val="009C329E"/>
    <w:rsid w:val="009C4965"/>
    <w:rsid w:val="009C62F1"/>
    <w:rsid w:val="009C6B67"/>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0A33"/>
    <w:rsid w:val="00A01393"/>
    <w:rsid w:val="00A02985"/>
    <w:rsid w:val="00A04334"/>
    <w:rsid w:val="00A04540"/>
    <w:rsid w:val="00A0473B"/>
    <w:rsid w:val="00A05426"/>
    <w:rsid w:val="00A05998"/>
    <w:rsid w:val="00A065AF"/>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29DA"/>
    <w:rsid w:val="00A95F2F"/>
    <w:rsid w:val="00A96ED6"/>
    <w:rsid w:val="00A9709B"/>
    <w:rsid w:val="00A976B4"/>
    <w:rsid w:val="00AA0306"/>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388"/>
    <w:rsid w:val="00AB6309"/>
    <w:rsid w:val="00AB760A"/>
    <w:rsid w:val="00AB7CE2"/>
    <w:rsid w:val="00AC0F5C"/>
    <w:rsid w:val="00AC1AEF"/>
    <w:rsid w:val="00AC2D06"/>
    <w:rsid w:val="00AC3C0A"/>
    <w:rsid w:val="00AC40B7"/>
    <w:rsid w:val="00AC58EE"/>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1B06"/>
    <w:rsid w:val="00AF1F11"/>
    <w:rsid w:val="00AF3847"/>
    <w:rsid w:val="00AF4AA5"/>
    <w:rsid w:val="00AF5B9B"/>
    <w:rsid w:val="00AF5E63"/>
    <w:rsid w:val="00AF6B56"/>
    <w:rsid w:val="00AF6C62"/>
    <w:rsid w:val="00AF7A58"/>
    <w:rsid w:val="00B0047A"/>
    <w:rsid w:val="00B028A0"/>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5E0A"/>
    <w:rsid w:val="00B1697C"/>
    <w:rsid w:val="00B201FF"/>
    <w:rsid w:val="00B220AB"/>
    <w:rsid w:val="00B22F41"/>
    <w:rsid w:val="00B238DB"/>
    <w:rsid w:val="00B2416C"/>
    <w:rsid w:val="00B247F9"/>
    <w:rsid w:val="00B24EA0"/>
    <w:rsid w:val="00B25AAF"/>
    <w:rsid w:val="00B2773E"/>
    <w:rsid w:val="00B3003E"/>
    <w:rsid w:val="00B31BD2"/>
    <w:rsid w:val="00B32262"/>
    <w:rsid w:val="00B330F7"/>
    <w:rsid w:val="00B3473B"/>
    <w:rsid w:val="00B3514D"/>
    <w:rsid w:val="00B352C9"/>
    <w:rsid w:val="00B37504"/>
    <w:rsid w:val="00B404C8"/>
    <w:rsid w:val="00B41AB4"/>
    <w:rsid w:val="00B4274D"/>
    <w:rsid w:val="00B450F6"/>
    <w:rsid w:val="00B45422"/>
    <w:rsid w:val="00B45741"/>
    <w:rsid w:val="00B46298"/>
    <w:rsid w:val="00B462DB"/>
    <w:rsid w:val="00B465A9"/>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A51"/>
    <w:rsid w:val="00B80D10"/>
    <w:rsid w:val="00B8188E"/>
    <w:rsid w:val="00B81D69"/>
    <w:rsid w:val="00B82E10"/>
    <w:rsid w:val="00B83CD1"/>
    <w:rsid w:val="00B850DC"/>
    <w:rsid w:val="00B86DB8"/>
    <w:rsid w:val="00B876C8"/>
    <w:rsid w:val="00B929C1"/>
    <w:rsid w:val="00B93CD6"/>
    <w:rsid w:val="00B94C09"/>
    <w:rsid w:val="00B9609B"/>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153F"/>
    <w:rsid w:val="00BB1ECC"/>
    <w:rsid w:val="00BB2B80"/>
    <w:rsid w:val="00BB315F"/>
    <w:rsid w:val="00BB31D8"/>
    <w:rsid w:val="00BB4398"/>
    <w:rsid w:val="00BB44EB"/>
    <w:rsid w:val="00BB5E28"/>
    <w:rsid w:val="00BB7541"/>
    <w:rsid w:val="00BB7DF4"/>
    <w:rsid w:val="00BC0D77"/>
    <w:rsid w:val="00BC1245"/>
    <w:rsid w:val="00BC216A"/>
    <w:rsid w:val="00BC405B"/>
    <w:rsid w:val="00BC4315"/>
    <w:rsid w:val="00BC4449"/>
    <w:rsid w:val="00BC44B2"/>
    <w:rsid w:val="00BC52B5"/>
    <w:rsid w:val="00BC52E5"/>
    <w:rsid w:val="00BD2054"/>
    <w:rsid w:val="00BD4498"/>
    <w:rsid w:val="00BD456D"/>
    <w:rsid w:val="00BD7295"/>
    <w:rsid w:val="00BD7597"/>
    <w:rsid w:val="00BD7684"/>
    <w:rsid w:val="00BD7E1D"/>
    <w:rsid w:val="00BE035D"/>
    <w:rsid w:val="00BE0543"/>
    <w:rsid w:val="00BE056D"/>
    <w:rsid w:val="00BE068F"/>
    <w:rsid w:val="00BE124A"/>
    <w:rsid w:val="00BE15F4"/>
    <w:rsid w:val="00BE186C"/>
    <w:rsid w:val="00BE1930"/>
    <w:rsid w:val="00BE2C68"/>
    <w:rsid w:val="00BE2DCF"/>
    <w:rsid w:val="00BE661D"/>
    <w:rsid w:val="00BF03FB"/>
    <w:rsid w:val="00BF0724"/>
    <w:rsid w:val="00BF0BED"/>
    <w:rsid w:val="00BF2B48"/>
    <w:rsid w:val="00BF3653"/>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3CC"/>
    <w:rsid w:val="00C07655"/>
    <w:rsid w:val="00C07763"/>
    <w:rsid w:val="00C11236"/>
    <w:rsid w:val="00C1178F"/>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4787"/>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7540"/>
    <w:rsid w:val="00C77C3D"/>
    <w:rsid w:val="00C77EA6"/>
    <w:rsid w:val="00C8068B"/>
    <w:rsid w:val="00C813F7"/>
    <w:rsid w:val="00C818BF"/>
    <w:rsid w:val="00C82AE7"/>
    <w:rsid w:val="00C83889"/>
    <w:rsid w:val="00C85997"/>
    <w:rsid w:val="00C85D3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63B6"/>
    <w:rsid w:val="00C973EC"/>
    <w:rsid w:val="00C97A6E"/>
    <w:rsid w:val="00CA0B44"/>
    <w:rsid w:val="00CA0F51"/>
    <w:rsid w:val="00CA2C8F"/>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C0D"/>
    <w:rsid w:val="00CB5329"/>
    <w:rsid w:val="00CB56C8"/>
    <w:rsid w:val="00CB648F"/>
    <w:rsid w:val="00CB6B09"/>
    <w:rsid w:val="00CB7F62"/>
    <w:rsid w:val="00CC0314"/>
    <w:rsid w:val="00CC1607"/>
    <w:rsid w:val="00CC1DAA"/>
    <w:rsid w:val="00CC21E2"/>
    <w:rsid w:val="00CC4B35"/>
    <w:rsid w:val="00CC4C8B"/>
    <w:rsid w:val="00CC4EE0"/>
    <w:rsid w:val="00CC5261"/>
    <w:rsid w:val="00CC54E1"/>
    <w:rsid w:val="00CC5A6D"/>
    <w:rsid w:val="00CC5D1D"/>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E0428"/>
    <w:rsid w:val="00CE0788"/>
    <w:rsid w:val="00CE1D54"/>
    <w:rsid w:val="00CE263E"/>
    <w:rsid w:val="00CE3090"/>
    <w:rsid w:val="00CE3654"/>
    <w:rsid w:val="00CE5982"/>
    <w:rsid w:val="00CE62D9"/>
    <w:rsid w:val="00CE6603"/>
    <w:rsid w:val="00CE6FC2"/>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E62"/>
    <w:rsid w:val="00D13FE1"/>
    <w:rsid w:val="00D141B0"/>
    <w:rsid w:val="00D14FF0"/>
    <w:rsid w:val="00D15FA3"/>
    <w:rsid w:val="00D16382"/>
    <w:rsid w:val="00D16431"/>
    <w:rsid w:val="00D1651D"/>
    <w:rsid w:val="00D175BD"/>
    <w:rsid w:val="00D17767"/>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75C"/>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61EE"/>
    <w:rsid w:val="00D4674E"/>
    <w:rsid w:val="00D4699A"/>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60D7B"/>
    <w:rsid w:val="00D61016"/>
    <w:rsid w:val="00D61401"/>
    <w:rsid w:val="00D620CF"/>
    <w:rsid w:val="00D63667"/>
    <w:rsid w:val="00D6375C"/>
    <w:rsid w:val="00D642B2"/>
    <w:rsid w:val="00D64766"/>
    <w:rsid w:val="00D6560D"/>
    <w:rsid w:val="00D67CF2"/>
    <w:rsid w:val="00D67EAE"/>
    <w:rsid w:val="00D70030"/>
    <w:rsid w:val="00D718FF"/>
    <w:rsid w:val="00D71DD9"/>
    <w:rsid w:val="00D732A9"/>
    <w:rsid w:val="00D739B6"/>
    <w:rsid w:val="00D739E2"/>
    <w:rsid w:val="00D754C5"/>
    <w:rsid w:val="00D75601"/>
    <w:rsid w:val="00D76559"/>
    <w:rsid w:val="00D80AA9"/>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6A78"/>
    <w:rsid w:val="00D9722D"/>
    <w:rsid w:val="00D976C8"/>
    <w:rsid w:val="00D97744"/>
    <w:rsid w:val="00D97D1C"/>
    <w:rsid w:val="00DA0290"/>
    <w:rsid w:val="00DA157F"/>
    <w:rsid w:val="00DA1C94"/>
    <w:rsid w:val="00DA1CD8"/>
    <w:rsid w:val="00DA4065"/>
    <w:rsid w:val="00DA486D"/>
    <w:rsid w:val="00DA4CA3"/>
    <w:rsid w:val="00DA58AE"/>
    <w:rsid w:val="00DB0323"/>
    <w:rsid w:val="00DB1357"/>
    <w:rsid w:val="00DB2926"/>
    <w:rsid w:val="00DB29E6"/>
    <w:rsid w:val="00DB2AD0"/>
    <w:rsid w:val="00DB2D40"/>
    <w:rsid w:val="00DB3196"/>
    <w:rsid w:val="00DB401B"/>
    <w:rsid w:val="00DB42CB"/>
    <w:rsid w:val="00DB5CB9"/>
    <w:rsid w:val="00DB6162"/>
    <w:rsid w:val="00DB69E9"/>
    <w:rsid w:val="00DB76B8"/>
    <w:rsid w:val="00DB7B50"/>
    <w:rsid w:val="00DC02D4"/>
    <w:rsid w:val="00DC133C"/>
    <w:rsid w:val="00DC1779"/>
    <w:rsid w:val="00DC1F28"/>
    <w:rsid w:val="00DC2AE4"/>
    <w:rsid w:val="00DC48CD"/>
    <w:rsid w:val="00DC7162"/>
    <w:rsid w:val="00DC7D48"/>
    <w:rsid w:val="00DD01CF"/>
    <w:rsid w:val="00DD0626"/>
    <w:rsid w:val="00DD0D47"/>
    <w:rsid w:val="00DD132A"/>
    <w:rsid w:val="00DD2AC5"/>
    <w:rsid w:val="00DD4B76"/>
    <w:rsid w:val="00DD4E7D"/>
    <w:rsid w:val="00DD56CE"/>
    <w:rsid w:val="00DD6B4C"/>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3F33"/>
    <w:rsid w:val="00E04DED"/>
    <w:rsid w:val="00E04FBF"/>
    <w:rsid w:val="00E05B9B"/>
    <w:rsid w:val="00E05CB6"/>
    <w:rsid w:val="00E05CE4"/>
    <w:rsid w:val="00E06ADD"/>
    <w:rsid w:val="00E07FDF"/>
    <w:rsid w:val="00E113CD"/>
    <w:rsid w:val="00E121D0"/>
    <w:rsid w:val="00E12376"/>
    <w:rsid w:val="00E13A0D"/>
    <w:rsid w:val="00E14A92"/>
    <w:rsid w:val="00E14CBF"/>
    <w:rsid w:val="00E15376"/>
    <w:rsid w:val="00E155CE"/>
    <w:rsid w:val="00E157F8"/>
    <w:rsid w:val="00E174F6"/>
    <w:rsid w:val="00E212FF"/>
    <w:rsid w:val="00E21E3B"/>
    <w:rsid w:val="00E22997"/>
    <w:rsid w:val="00E2319F"/>
    <w:rsid w:val="00E237F9"/>
    <w:rsid w:val="00E23EEA"/>
    <w:rsid w:val="00E24657"/>
    <w:rsid w:val="00E3298A"/>
    <w:rsid w:val="00E32C78"/>
    <w:rsid w:val="00E3346D"/>
    <w:rsid w:val="00E33C88"/>
    <w:rsid w:val="00E33EB2"/>
    <w:rsid w:val="00E34382"/>
    <w:rsid w:val="00E34714"/>
    <w:rsid w:val="00E36558"/>
    <w:rsid w:val="00E3707D"/>
    <w:rsid w:val="00E376E0"/>
    <w:rsid w:val="00E40C23"/>
    <w:rsid w:val="00E40CC1"/>
    <w:rsid w:val="00E41979"/>
    <w:rsid w:val="00E439FB"/>
    <w:rsid w:val="00E43B45"/>
    <w:rsid w:val="00E44AE5"/>
    <w:rsid w:val="00E45C09"/>
    <w:rsid w:val="00E45EF4"/>
    <w:rsid w:val="00E47082"/>
    <w:rsid w:val="00E4718C"/>
    <w:rsid w:val="00E47A47"/>
    <w:rsid w:val="00E500B5"/>
    <w:rsid w:val="00E5062F"/>
    <w:rsid w:val="00E50F3F"/>
    <w:rsid w:val="00E5107A"/>
    <w:rsid w:val="00E513AD"/>
    <w:rsid w:val="00E51450"/>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6A9"/>
    <w:rsid w:val="00E82767"/>
    <w:rsid w:val="00E838F0"/>
    <w:rsid w:val="00E840F9"/>
    <w:rsid w:val="00E8525D"/>
    <w:rsid w:val="00E85DC2"/>
    <w:rsid w:val="00E85E4F"/>
    <w:rsid w:val="00E861FB"/>
    <w:rsid w:val="00E8623D"/>
    <w:rsid w:val="00E87D37"/>
    <w:rsid w:val="00E90724"/>
    <w:rsid w:val="00E922B2"/>
    <w:rsid w:val="00E9249F"/>
    <w:rsid w:val="00E93120"/>
    <w:rsid w:val="00E93AA8"/>
    <w:rsid w:val="00E95249"/>
    <w:rsid w:val="00E958A4"/>
    <w:rsid w:val="00E961C4"/>
    <w:rsid w:val="00E969F4"/>
    <w:rsid w:val="00E96E79"/>
    <w:rsid w:val="00E973B0"/>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311A"/>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70F2"/>
    <w:rsid w:val="00ED737B"/>
    <w:rsid w:val="00ED761E"/>
    <w:rsid w:val="00EE08D1"/>
    <w:rsid w:val="00EE08D5"/>
    <w:rsid w:val="00EE0D8D"/>
    <w:rsid w:val="00EE1118"/>
    <w:rsid w:val="00EE1A04"/>
    <w:rsid w:val="00EE1D4A"/>
    <w:rsid w:val="00EE203B"/>
    <w:rsid w:val="00EE3617"/>
    <w:rsid w:val="00EE3B1C"/>
    <w:rsid w:val="00EE4254"/>
    <w:rsid w:val="00EE4C93"/>
    <w:rsid w:val="00EE5086"/>
    <w:rsid w:val="00EE547F"/>
    <w:rsid w:val="00EE6055"/>
    <w:rsid w:val="00EE6C74"/>
    <w:rsid w:val="00EE78C3"/>
    <w:rsid w:val="00EF048F"/>
    <w:rsid w:val="00EF1D85"/>
    <w:rsid w:val="00EF1EF3"/>
    <w:rsid w:val="00EF200C"/>
    <w:rsid w:val="00EF2134"/>
    <w:rsid w:val="00EF2C5D"/>
    <w:rsid w:val="00EF2D83"/>
    <w:rsid w:val="00EF304F"/>
    <w:rsid w:val="00EF3154"/>
    <w:rsid w:val="00EF5CBA"/>
    <w:rsid w:val="00EF7C84"/>
    <w:rsid w:val="00F0257D"/>
    <w:rsid w:val="00F02F65"/>
    <w:rsid w:val="00F03EC7"/>
    <w:rsid w:val="00F040E9"/>
    <w:rsid w:val="00F04762"/>
    <w:rsid w:val="00F05C1D"/>
    <w:rsid w:val="00F05C70"/>
    <w:rsid w:val="00F06798"/>
    <w:rsid w:val="00F070B8"/>
    <w:rsid w:val="00F0796F"/>
    <w:rsid w:val="00F1010A"/>
    <w:rsid w:val="00F1225E"/>
    <w:rsid w:val="00F122B6"/>
    <w:rsid w:val="00F1361A"/>
    <w:rsid w:val="00F144F7"/>
    <w:rsid w:val="00F14D62"/>
    <w:rsid w:val="00F16732"/>
    <w:rsid w:val="00F17679"/>
    <w:rsid w:val="00F17D88"/>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5C0"/>
    <w:rsid w:val="00F36797"/>
    <w:rsid w:val="00F372A4"/>
    <w:rsid w:val="00F37BC6"/>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69A3"/>
    <w:rsid w:val="00F87AF8"/>
    <w:rsid w:val="00F9028B"/>
    <w:rsid w:val="00F90BDB"/>
    <w:rsid w:val="00F90F80"/>
    <w:rsid w:val="00F9187D"/>
    <w:rsid w:val="00F92644"/>
    <w:rsid w:val="00F9275D"/>
    <w:rsid w:val="00F92A30"/>
    <w:rsid w:val="00F9388C"/>
    <w:rsid w:val="00F93AC6"/>
    <w:rsid w:val="00F9619D"/>
    <w:rsid w:val="00F97042"/>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10ED"/>
    <w:rsid w:val="00FB249A"/>
    <w:rsid w:val="00FB2545"/>
    <w:rsid w:val="00FB2BF2"/>
    <w:rsid w:val="00FB3EDF"/>
    <w:rsid w:val="00FB41AB"/>
    <w:rsid w:val="00FB4961"/>
    <w:rsid w:val="00FB49E2"/>
    <w:rsid w:val="00FB5902"/>
    <w:rsid w:val="00FB65B9"/>
    <w:rsid w:val="00FB6732"/>
    <w:rsid w:val="00FB6E34"/>
    <w:rsid w:val="00FB7782"/>
    <w:rsid w:val="00FC1C05"/>
    <w:rsid w:val="00FC3C3D"/>
    <w:rsid w:val="00FC5CBB"/>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FA"/>
    <w:rsid w:val="00FE17D4"/>
    <w:rsid w:val="00FE21DE"/>
    <w:rsid w:val="00FE23FB"/>
    <w:rsid w:val="00FE2619"/>
    <w:rsid w:val="00FE27C5"/>
    <w:rsid w:val="00FE2B22"/>
    <w:rsid w:val="00FE3A0C"/>
    <w:rsid w:val="00FE4D1E"/>
    <w:rsid w:val="00FE52CD"/>
    <w:rsid w:val="00FE52D5"/>
    <w:rsid w:val="00FE59F4"/>
    <w:rsid w:val="00FE6E20"/>
    <w:rsid w:val="00FE763E"/>
    <w:rsid w:val="00FF28BC"/>
    <w:rsid w:val="00FF2964"/>
    <w:rsid w:val="00FF44DD"/>
    <w:rsid w:val="00FF4A1A"/>
    <w:rsid w:val="00FF5421"/>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190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5C2B"/>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next w:val="Normal"/>
    <w:uiPriority w:val="9"/>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标题 2,Header 2,Header2,22,heading2,2nd level,H21,H22,H23,H24,H25,R2,E2,†berschrift 2,õberschrift 2"/>
    <w:basedOn w:val="Heading1"/>
    <w:next w:val="Normal"/>
    <w:uiPriority w:val="9"/>
    <w:qFormat/>
    <w:rsid w:val="00D86CF9"/>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link w:val="Heading4Char"/>
    <w:uiPriority w:val="9"/>
    <w:qFormat/>
    <w:rsid w:val="00FA2CB8"/>
    <w:pPr>
      <w:numPr>
        <w:ilvl w:val="3"/>
      </w:numPr>
      <w:outlineLvl w:val="3"/>
    </w:pPr>
    <w:rPr>
      <w:sz w:val="24"/>
      <w:lang w:val="x-none"/>
    </w:rPr>
  </w:style>
  <w:style w:type="paragraph" w:styleId="Heading5">
    <w:name w:val="heading 5"/>
    <w:aliases w:val="h5,Heading5,H5"/>
    <w:basedOn w:val="Heading4"/>
    <w:next w:val="Normal"/>
    <w:uiPriority w:val="9"/>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rsid w:val="00285C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5C2B"/>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spacing w:after="0"/>
      <w:ind w:left="630"/>
      <w:jc w:val="both"/>
    </w:pPr>
    <w:rPr>
      <w:kern w:val="2"/>
      <w:sz w:val="21"/>
      <w:lang w:val="en-US"/>
    </w:rPr>
  </w:style>
  <w:style w:type="paragraph" w:styleId="BodyTextIndent2">
    <w:name w:val="Body Text Indent 2"/>
    <w:basedOn w:val="Normal"/>
    <w:pPr>
      <w:widowControl w:val="0"/>
      <w:tabs>
        <w:tab w:val="left" w:pos="2205"/>
      </w:tabs>
      <w:spacing w:after="0"/>
      <w:ind w:left="200"/>
      <w:jc w:val="both"/>
    </w:pPr>
    <w:rPr>
      <w:kern w:val="2"/>
      <w:lang w:val="en-US"/>
    </w:rPr>
  </w:style>
  <w:style w:type="paragraph" w:styleId="BodyTextIndent3">
    <w:name w:val="Body Text Indent 3"/>
    <w:basedOn w:val="Normal"/>
    <w:pPr>
      <w:spacing w:after="0"/>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spacing w:after="0"/>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spacing w:after="0"/>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basedOn w:val="Normal"/>
    <w:link w:val="ListParagraphChar"/>
    <w:uiPriority w:val="34"/>
    <w:qFormat/>
    <w:rsid w:val="007F740E"/>
    <w:pPr>
      <w:ind w:left="720"/>
      <w:contextualSpacing/>
    </w:pPr>
  </w:style>
  <w:style w:type="character" w:customStyle="1" w:styleId="ListParagraphChar">
    <w:name w:val="List Paragraph Char"/>
    <w:link w:val="ListParagraph"/>
    <w:uiPriority w:val="34"/>
    <w:locked/>
    <w:rsid w:val="007F740E"/>
    <w:rPr>
      <w:rFonts w:eastAsia="Times New Roman"/>
      <w:lang w:val="en-GB"/>
    </w:rPr>
  </w:style>
  <w:style w:type="table" w:styleId="PlainTable1">
    <w:name w:val="Plain Table 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semiHidden/>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C8D068-8780-43AB-A48B-45BC57AA5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2881</Words>
  <Characters>16423</Characters>
  <Application>Microsoft Office Word</Application>
  <DocSecurity>0</DocSecurity>
  <Lines>136</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19266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2017-10-02T16:27:00Z</dcterms:created>
  <dcterms:modified xsi:type="dcterms:W3CDTF">2017-10-02T16:28:00Z</dcterms:modified>
</cp:coreProperties>
</file>